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59671" w14:textId="5E963F52" w:rsidR="00FF4C8E" w:rsidRDefault="00000000">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#110BIS meeting</w:t>
      </w:r>
      <w:r>
        <w:rPr>
          <w:rFonts w:ascii="Arial" w:eastAsia="Arial" w:hAnsi="Arial" w:cs="Arial"/>
          <w:b/>
          <w:color w:val="000000"/>
        </w:rPr>
        <w:t xml:space="preserve"> </w:t>
      </w:r>
      <w:r>
        <w:rPr>
          <w:rFonts w:ascii="Arial" w:eastAsia="Arial" w:hAnsi="Arial" w:cs="Arial"/>
          <w:b/>
          <w:color w:val="000000"/>
        </w:rPr>
        <w:tab/>
        <w:t xml:space="preserve"> </w:t>
      </w:r>
      <w:r>
        <w:rPr>
          <w:rFonts w:ascii="Arial" w:eastAsia="Arial" w:hAnsi="Arial" w:cs="Arial"/>
          <w:b/>
          <w:color w:val="000000"/>
          <w:sz w:val="24"/>
          <w:szCs w:val="24"/>
        </w:rPr>
        <w:t>R4-240</w:t>
      </w:r>
      <w:r w:rsidR="009053F9">
        <w:rPr>
          <w:rFonts w:ascii="Arial" w:eastAsia="Arial" w:hAnsi="Arial" w:cs="Arial"/>
          <w:b/>
          <w:color w:val="000000"/>
          <w:sz w:val="24"/>
          <w:szCs w:val="24"/>
        </w:rPr>
        <w:t>4542</w:t>
      </w:r>
    </w:p>
    <w:p w14:paraId="31693ECC" w14:textId="77777777" w:rsidR="00FF4C8E" w:rsidRDefault="00000000">
      <w:pPr>
        <w:rPr>
          <w:rFonts w:ascii="Arial" w:eastAsia="Arial" w:hAnsi="Arial" w:cs="Arial"/>
          <w:b/>
          <w:sz w:val="24"/>
          <w:szCs w:val="24"/>
        </w:rPr>
      </w:pPr>
      <w:r>
        <w:rPr>
          <w:rFonts w:ascii="Arial" w:eastAsia="Arial" w:hAnsi="Arial" w:cs="Arial"/>
          <w:b/>
          <w:sz w:val="24"/>
          <w:szCs w:val="24"/>
        </w:rPr>
        <w:t>Changsha, China, 15</w:t>
      </w:r>
      <w:r>
        <w:rPr>
          <w:rFonts w:ascii="Arial" w:eastAsia="Arial" w:hAnsi="Arial" w:cs="Arial"/>
          <w:b/>
          <w:sz w:val="24"/>
          <w:szCs w:val="24"/>
          <w:vertAlign w:val="superscript"/>
        </w:rPr>
        <w:t>th</w:t>
      </w:r>
      <w:r>
        <w:rPr>
          <w:rFonts w:ascii="Arial" w:eastAsia="Arial" w:hAnsi="Arial" w:cs="Arial"/>
          <w:b/>
          <w:sz w:val="24"/>
          <w:szCs w:val="24"/>
        </w:rPr>
        <w:t xml:space="preserve"> – 19</w:t>
      </w:r>
      <w:r>
        <w:rPr>
          <w:rFonts w:ascii="Arial" w:eastAsia="Arial" w:hAnsi="Arial" w:cs="Arial"/>
          <w:b/>
          <w:sz w:val="24"/>
          <w:szCs w:val="24"/>
          <w:vertAlign w:val="superscript"/>
        </w:rPr>
        <w:t>th</w:t>
      </w:r>
      <w:r>
        <w:rPr>
          <w:rFonts w:ascii="Arial" w:eastAsia="Arial" w:hAnsi="Arial" w:cs="Arial"/>
          <w:b/>
          <w:sz w:val="24"/>
          <w:szCs w:val="24"/>
        </w:rPr>
        <w:t xml:space="preserve"> April, 2024</w:t>
      </w:r>
    </w:p>
    <w:p w14:paraId="2D9AF878" w14:textId="77777777" w:rsidR="00FF4C8E" w:rsidRDefault="00FF4C8E">
      <w:pPr>
        <w:pStyle w:val="3"/>
        <w:tabs>
          <w:tab w:val="left" w:pos="360"/>
          <w:tab w:val="left" w:pos="1710"/>
        </w:tabs>
        <w:rPr>
          <w:rFonts w:ascii="Arial" w:eastAsia="Arial" w:hAnsi="Arial" w:cs="Arial"/>
          <w:b/>
          <w:color w:val="000000"/>
          <w:sz w:val="20"/>
          <w:szCs w:val="20"/>
        </w:rPr>
      </w:pPr>
    </w:p>
    <w:p w14:paraId="2D3ADDB3" w14:textId="754BD3C5" w:rsidR="00FF4C8E"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t>9.9.1</w:t>
      </w:r>
      <w:r w:rsidR="00C06D64">
        <w:rPr>
          <w:rFonts w:ascii="Arial" w:eastAsia="Arial" w:hAnsi="Arial" w:cs="Arial"/>
          <w:b/>
          <w:color w:val="000000"/>
          <w:sz w:val="20"/>
          <w:szCs w:val="20"/>
        </w:rPr>
        <w:t xml:space="preserve"> &amp; 6.20.1.1</w:t>
      </w:r>
    </w:p>
    <w:p w14:paraId="4657E828" w14:textId="77777777" w:rsidR="00FF4C8E"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35720EFD" w14:textId="25496F02" w:rsidR="00FF4C8E" w:rsidRDefault="00000000">
      <w:pPr>
        <w:pStyle w:val="3"/>
        <w:tabs>
          <w:tab w:val="left" w:pos="360"/>
          <w:tab w:val="left" w:pos="1710"/>
        </w:tabs>
        <w:ind w:left="1710" w:hanging="1710"/>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t xml:space="preserve">Consideration of leftover issue of NR sidelink WI in Rel-18 and </w:t>
      </w:r>
      <w:r w:rsidR="0036371D">
        <w:rPr>
          <w:rFonts w:ascii="Arial" w:eastAsia="Arial" w:hAnsi="Arial" w:cs="Arial"/>
          <w:b/>
          <w:color w:val="000000"/>
          <w:sz w:val="20"/>
          <w:szCs w:val="20"/>
        </w:rPr>
        <w:t xml:space="preserve">new </w:t>
      </w:r>
      <w:r>
        <w:rPr>
          <w:rFonts w:ascii="Arial" w:eastAsia="Arial" w:hAnsi="Arial" w:cs="Arial"/>
          <w:b/>
          <w:color w:val="000000"/>
          <w:sz w:val="20"/>
          <w:szCs w:val="20"/>
        </w:rPr>
        <w:t>scope in Rel-19</w:t>
      </w:r>
    </w:p>
    <w:p w14:paraId="73B5CC2F" w14:textId="77777777" w:rsidR="00FF4C8E" w:rsidRDefault="00000000">
      <w:pPr>
        <w:pBdr>
          <w:bottom w:val="single" w:sz="6" w:space="1" w:color="000000"/>
        </w:pBdr>
        <w:tabs>
          <w:tab w:val="left" w:pos="1710"/>
        </w:tabs>
        <w:rPr>
          <w:b/>
          <w:color w:val="000000"/>
          <w:sz w:val="20"/>
          <w:szCs w:val="20"/>
        </w:rPr>
      </w:pPr>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206723D5" w14:textId="77777777" w:rsidR="00FF4C8E" w:rsidRDefault="00000000">
      <w:pPr>
        <w:pStyle w:val="1"/>
        <w:numPr>
          <w:ilvl w:val="0"/>
          <w:numId w:val="2"/>
        </w:numPr>
        <w:spacing w:before="240"/>
        <w:ind w:left="270" w:hanging="270"/>
      </w:pPr>
      <w:bookmarkStart w:id="0" w:name="_heading=h.gjdgxs" w:colFirst="0" w:colLast="0"/>
      <w:bookmarkEnd w:id="0"/>
      <w:r>
        <w:t>Introduction</w:t>
      </w:r>
    </w:p>
    <w:p w14:paraId="2FD6667D" w14:textId="77777777" w:rsidR="00FF4C8E" w:rsidRDefault="00000000">
      <w:pPr>
        <w:ind w:firstLine="720"/>
      </w:pPr>
      <w:r>
        <w:t>In RAN #103 meeting, RAN approved the RAN4 only WI on NR sidelink CA in ITS spectrum in Rel-19.</w:t>
      </w:r>
    </w:p>
    <w:p w14:paraId="4F26A785" w14:textId="77777777" w:rsidR="00FF4C8E" w:rsidRDefault="00000000">
      <w:r>
        <w:t>Based on the below WI objectives, we suggest on the how to define RF core requirements for the intra-band contiguous/non-contiguous SL CA in ITS spectrums in Rel-19 and some leftover issues could be treated in Rel-18 maintenance agenda since the supporting of power class 3 for SL-U operation is one of main leftover topic in Rel-18 which item can be completed in the Rel-18 maintenance phase. The following contents are the SL-CA WI objectives in ITS spectrum in Rel-19.</w:t>
      </w:r>
    </w:p>
    <w:p w14:paraId="18F5788E" w14:textId="77777777" w:rsidR="00FF4C8E" w:rsidRDefault="00FF4C8E">
      <w:pPr>
        <w:jc w:val="right"/>
      </w:pPr>
    </w:p>
    <w:tbl>
      <w:tblPr>
        <w:tblStyle w:val="afe"/>
        <w:tblW w:w="901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FF4C8E" w14:paraId="3963C300" w14:textId="77777777">
        <w:tc>
          <w:tcPr>
            <w:tcW w:w="9019" w:type="dxa"/>
          </w:tcPr>
          <w:p w14:paraId="1C1E8DE5" w14:textId="77777777" w:rsidR="00FF4C8E" w:rsidRDefault="00000000">
            <w:r>
              <w:rPr>
                <w:b/>
              </w:rPr>
              <w:t>NR SL CA WI in ITS spectrum in Rel-19 [1]</w:t>
            </w:r>
          </w:p>
          <w:p w14:paraId="5B364768" w14:textId="77777777" w:rsidR="00FF4C8E" w:rsidRDefault="00000000">
            <w:r>
              <w:t>The core part of the work item includes:</w:t>
            </w:r>
          </w:p>
          <w:p w14:paraId="4C5E49FB" w14:textId="77777777" w:rsidR="00FF4C8E" w:rsidRDefault="00000000">
            <w:pPr>
              <w:widowControl/>
              <w:numPr>
                <w:ilvl w:val="0"/>
                <w:numId w:val="4"/>
              </w:numPr>
              <w:pBdr>
                <w:top w:val="nil"/>
                <w:left w:val="nil"/>
                <w:bottom w:val="nil"/>
                <w:right w:val="nil"/>
                <w:between w:val="nil"/>
              </w:pBdr>
              <w:spacing w:before="60" w:after="0"/>
              <w:jc w:val="left"/>
              <w:rPr>
                <w:color w:val="000000"/>
              </w:rPr>
            </w:pPr>
            <w:r>
              <w:rPr>
                <w:color w:val="000000"/>
              </w:rPr>
              <w:t>Specify the RF requirements for NR sidelink CA in n47:</w:t>
            </w:r>
          </w:p>
          <w:p w14:paraId="5848FCEC" w14:textId="77777777" w:rsidR="00FF4C8E" w:rsidRDefault="00000000">
            <w:pPr>
              <w:widowControl/>
              <w:numPr>
                <w:ilvl w:val="1"/>
                <w:numId w:val="4"/>
              </w:numPr>
              <w:pBdr>
                <w:top w:val="nil"/>
                <w:left w:val="nil"/>
                <w:bottom w:val="nil"/>
                <w:right w:val="nil"/>
                <w:between w:val="nil"/>
              </w:pBdr>
              <w:spacing w:after="60"/>
              <w:jc w:val="left"/>
              <w:rPr>
                <w:color w:val="000000"/>
              </w:rPr>
            </w:pPr>
            <w:r>
              <w:rPr>
                <w:color w:val="000000"/>
              </w:rPr>
              <w:t>Intra-band non-contiguous CA with power class 2 and power class 3, with Component Carrier (CC) combinations 10MHz + 10MHz and 10MHz + 20MHz</w:t>
            </w:r>
          </w:p>
          <w:p w14:paraId="031BC24E" w14:textId="77777777" w:rsidR="00FF4C8E" w:rsidRDefault="00000000">
            <w:pPr>
              <w:widowControl/>
              <w:numPr>
                <w:ilvl w:val="1"/>
                <w:numId w:val="4"/>
              </w:numPr>
              <w:jc w:val="left"/>
              <w:rPr>
                <w:rFonts w:ascii="Times" w:eastAsia="Times" w:hAnsi="Times" w:cs="Times"/>
              </w:rPr>
            </w:pPr>
            <w:r>
              <w:rPr>
                <w:rFonts w:ascii="Times" w:eastAsia="Times" w:hAnsi="Times" w:cs="Times"/>
              </w:rPr>
              <w:t>Intra-band contiguous CA with power class 2</w:t>
            </w:r>
          </w:p>
          <w:p w14:paraId="5AF9D245" w14:textId="77777777" w:rsidR="00FF4C8E" w:rsidRDefault="00000000">
            <w:pPr>
              <w:widowControl/>
              <w:numPr>
                <w:ilvl w:val="0"/>
                <w:numId w:val="4"/>
              </w:numPr>
              <w:pBdr>
                <w:top w:val="nil"/>
                <w:left w:val="nil"/>
                <w:bottom w:val="nil"/>
                <w:right w:val="nil"/>
                <w:between w:val="nil"/>
              </w:pBdr>
              <w:spacing w:before="60" w:after="60"/>
              <w:jc w:val="left"/>
              <w:rPr>
                <w:color w:val="000000"/>
              </w:rPr>
            </w:pPr>
            <w:r>
              <w:rPr>
                <w:color w:val="000000"/>
              </w:rPr>
              <w:t xml:space="preserve">Introduce necessary changes for release independence specification, if identified </w:t>
            </w:r>
          </w:p>
          <w:p w14:paraId="3D049A27" w14:textId="77777777" w:rsidR="00FF4C8E" w:rsidRDefault="00FF4C8E">
            <w:pPr>
              <w:spacing w:after="0"/>
            </w:pPr>
          </w:p>
          <w:p w14:paraId="749AA906" w14:textId="77777777" w:rsidR="00FF4C8E" w:rsidRDefault="00000000">
            <w:pPr>
              <w:spacing w:after="0"/>
            </w:pPr>
            <w:r>
              <w:t>Note: Work for power class 3 starts first in RAN4. Whether there is any RRM core requirement to be specified will be confirmed in Q3 2024.</w:t>
            </w:r>
          </w:p>
          <w:p w14:paraId="6C5349BB" w14:textId="77777777" w:rsidR="00FF4C8E" w:rsidRDefault="00FF4C8E">
            <w:pPr>
              <w:spacing w:after="0"/>
            </w:pPr>
          </w:p>
          <w:p w14:paraId="52408331" w14:textId="77777777" w:rsidR="00FF4C8E" w:rsidRDefault="00000000">
            <w:pPr>
              <w:spacing w:after="0"/>
              <w:rPr>
                <w:b/>
                <w:i/>
                <w:color w:val="0070C0"/>
              </w:rPr>
            </w:pPr>
            <w:r>
              <w:t xml:space="preserve"> </w:t>
            </w:r>
            <w:r>
              <w:rPr>
                <w:b/>
                <w:i/>
                <w:color w:val="0070C0"/>
              </w:rPr>
              <w:t>&lt; Contents are omitted&gt;</w:t>
            </w:r>
          </w:p>
          <w:p w14:paraId="0FF5DD2C" w14:textId="77777777" w:rsidR="00FF4C8E" w:rsidRDefault="00FF4C8E">
            <w:pPr>
              <w:spacing w:after="0"/>
              <w:rPr>
                <w:b/>
                <w:i/>
                <w:color w:val="0070C0"/>
              </w:rPr>
            </w:pPr>
          </w:p>
          <w:p w14:paraId="6632A9D0" w14:textId="77777777" w:rsidR="00FF4C8E" w:rsidRDefault="00000000">
            <w:pPr>
              <w:spacing w:after="0"/>
            </w:pPr>
            <w:r>
              <w:t xml:space="preserve">* Target compeletion date </w:t>
            </w:r>
          </w:p>
          <w:tbl>
            <w:tblPr>
              <w:tblStyle w:val="aff"/>
              <w:tblW w:w="88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15"/>
              <w:gridCol w:w="1062"/>
              <w:gridCol w:w="2257"/>
              <w:gridCol w:w="930"/>
              <w:gridCol w:w="1006"/>
              <w:gridCol w:w="2049"/>
            </w:tblGrid>
            <w:tr w:rsidR="00FF4C8E" w14:paraId="41941E5D" w14:textId="77777777">
              <w:trPr>
                <w:trHeight w:val="183"/>
              </w:trPr>
              <w:tc>
                <w:tcPr>
                  <w:tcW w:w="8819" w:type="dxa"/>
                  <w:gridSpan w:val="6"/>
                  <w:shd w:val="clear" w:color="auto" w:fill="D9D9D9"/>
                  <w:tcMar>
                    <w:left w:w="57" w:type="dxa"/>
                    <w:right w:w="57" w:type="dxa"/>
                  </w:tcMar>
                  <w:vAlign w:val="center"/>
                </w:tcPr>
                <w:p w14:paraId="40A97FAE" w14:textId="77777777" w:rsidR="00FF4C8E" w:rsidRDefault="00000000">
                  <w:pPr>
                    <w:keepNext/>
                    <w:keepLines/>
                    <w:widowControl/>
                    <w:pBdr>
                      <w:top w:val="nil"/>
                      <w:left w:val="nil"/>
                      <w:bottom w:val="nil"/>
                      <w:right w:val="nil"/>
                      <w:between w:val="nil"/>
                    </w:pBdr>
                    <w:spacing w:after="0"/>
                    <w:ind w:right="-99"/>
                    <w:jc w:val="center"/>
                    <w:rPr>
                      <w:b/>
                      <w:color w:val="000000"/>
                      <w:sz w:val="16"/>
                      <w:szCs w:val="16"/>
                    </w:rPr>
                  </w:pPr>
                  <w:r>
                    <w:rPr>
                      <w:b/>
                      <w:color w:val="000000"/>
                      <w:sz w:val="16"/>
                      <w:szCs w:val="16"/>
                    </w:rPr>
                    <w:t xml:space="preserve">New specifications </w:t>
                  </w:r>
                  <w:r>
                    <w:rPr>
                      <w:i/>
                      <w:color w:val="000000"/>
                      <w:sz w:val="16"/>
                      <w:szCs w:val="16"/>
                    </w:rPr>
                    <w:t>{One line per specification. Create/delete lines as needed}</w:t>
                  </w:r>
                </w:p>
              </w:tc>
            </w:tr>
            <w:tr w:rsidR="00FF4C8E" w14:paraId="083E65A9" w14:textId="77777777">
              <w:trPr>
                <w:trHeight w:val="371"/>
              </w:trPr>
              <w:tc>
                <w:tcPr>
                  <w:tcW w:w="1515" w:type="dxa"/>
                  <w:shd w:val="clear" w:color="auto" w:fill="D9D9D9"/>
                  <w:tcMar>
                    <w:left w:w="57" w:type="dxa"/>
                    <w:right w:w="57" w:type="dxa"/>
                  </w:tcMar>
                  <w:vAlign w:val="center"/>
                </w:tcPr>
                <w:p w14:paraId="6A5D9BB1" w14:textId="77777777" w:rsidR="00FF4C8E" w:rsidRDefault="00000000">
                  <w:pPr>
                    <w:spacing w:after="0"/>
                    <w:ind w:right="-99"/>
                    <w:rPr>
                      <w:sz w:val="16"/>
                      <w:szCs w:val="16"/>
                    </w:rPr>
                  </w:pPr>
                  <w:r>
                    <w:rPr>
                      <w:sz w:val="16"/>
                      <w:szCs w:val="16"/>
                    </w:rPr>
                    <w:t xml:space="preserve">Type </w:t>
                  </w:r>
                </w:p>
              </w:tc>
              <w:tc>
                <w:tcPr>
                  <w:tcW w:w="1062" w:type="dxa"/>
                  <w:shd w:val="clear" w:color="auto" w:fill="D9D9D9"/>
                  <w:tcMar>
                    <w:left w:w="57" w:type="dxa"/>
                    <w:right w:w="57" w:type="dxa"/>
                  </w:tcMar>
                  <w:vAlign w:val="center"/>
                </w:tcPr>
                <w:p w14:paraId="242AC133" w14:textId="77777777" w:rsidR="00FF4C8E" w:rsidRDefault="00000000">
                  <w:pPr>
                    <w:spacing w:after="0"/>
                    <w:ind w:right="-99"/>
                  </w:pPr>
                  <w:r>
                    <w:rPr>
                      <w:sz w:val="16"/>
                      <w:szCs w:val="16"/>
                    </w:rPr>
                    <w:t>TS/TR number</w:t>
                  </w:r>
                </w:p>
              </w:tc>
              <w:tc>
                <w:tcPr>
                  <w:tcW w:w="2257" w:type="dxa"/>
                  <w:shd w:val="clear" w:color="auto" w:fill="D9D9D9"/>
                  <w:tcMar>
                    <w:left w:w="57" w:type="dxa"/>
                    <w:right w:w="57" w:type="dxa"/>
                  </w:tcMar>
                  <w:vAlign w:val="center"/>
                </w:tcPr>
                <w:p w14:paraId="17428A96" w14:textId="77777777" w:rsidR="00FF4C8E" w:rsidRDefault="00000000">
                  <w:pPr>
                    <w:spacing w:after="0"/>
                    <w:ind w:right="-99"/>
                    <w:rPr>
                      <w:rFonts w:ascii="Arial" w:eastAsia="Arial" w:hAnsi="Arial" w:cs="Arial"/>
                      <w:sz w:val="16"/>
                      <w:szCs w:val="16"/>
                    </w:rPr>
                  </w:pPr>
                  <w:r>
                    <w:rPr>
                      <w:rFonts w:ascii="Arial" w:eastAsia="Arial" w:hAnsi="Arial" w:cs="Arial"/>
                      <w:sz w:val="16"/>
                      <w:szCs w:val="16"/>
                    </w:rPr>
                    <w:t>Title</w:t>
                  </w:r>
                </w:p>
              </w:tc>
              <w:tc>
                <w:tcPr>
                  <w:tcW w:w="930" w:type="dxa"/>
                  <w:shd w:val="clear" w:color="auto" w:fill="D9D9D9"/>
                  <w:tcMar>
                    <w:left w:w="57" w:type="dxa"/>
                    <w:right w:w="57" w:type="dxa"/>
                  </w:tcMar>
                  <w:vAlign w:val="center"/>
                </w:tcPr>
                <w:p w14:paraId="6ECB53C9" w14:textId="77777777" w:rsidR="00FF4C8E" w:rsidRDefault="00000000">
                  <w:pPr>
                    <w:spacing w:after="0"/>
                    <w:ind w:right="-99"/>
                    <w:rPr>
                      <w:rFonts w:ascii="Arial" w:eastAsia="Arial" w:hAnsi="Arial" w:cs="Arial"/>
                      <w:sz w:val="16"/>
                      <w:szCs w:val="16"/>
                    </w:rPr>
                  </w:pPr>
                  <w:r>
                    <w:rPr>
                      <w:rFonts w:ascii="Arial" w:eastAsia="Arial" w:hAnsi="Arial" w:cs="Arial"/>
                      <w:sz w:val="16"/>
                      <w:szCs w:val="16"/>
                    </w:rPr>
                    <w:t xml:space="preserve">For info </w:t>
                  </w:r>
                  <w:r>
                    <w:rPr>
                      <w:rFonts w:ascii="Arial" w:eastAsia="Arial" w:hAnsi="Arial" w:cs="Arial"/>
                      <w:sz w:val="16"/>
                      <w:szCs w:val="16"/>
                    </w:rPr>
                    <w:br/>
                    <w:t xml:space="preserve">at TSG# </w:t>
                  </w:r>
                </w:p>
              </w:tc>
              <w:tc>
                <w:tcPr>
                  <w:tcW w:w="1006" w:type="dxa"/>
                  <w:shd w:val="clear" w:color="auto" w:fill="D9D9D9"/>
                  <w:tcMar>
                    <w:left w:w="57" w:type="dxa"/>
                    <w:right w:w="57" w:type="dxa"/>
                  </w:tcMar>
                  <w:vAlign w:val="center"/>
                </w:tcPr>
                <w:p w14:paraId="095A482C" w14:textId="77777777" w:rsidR="00FF4C8E" w:rsidRDefault="00000000">
                  <w:pPr>
                    <w:spacing w:after="0"/>
                    <w:ind w:right="-99"/>
                    <w:rPr>
                      <w:rFonts w:ascii="Arial" w:eastAsia="Arial" w:hAnsi="Arial" w:cs="Arial"/>
                      <w:sz w:val="16"/>
                      <w:szCs w:val="16"/>
                    </w:rPr>
                  </w:pPr>
                  <w:r>
                    <w:rPr>
                      <w:rFonts w:ascii="Arial" w:eastAsia="Arial" w:hAnsi="Arial" w:cs="Arial"/>
                      <w:sz w:val="16"/>
                      <w:szCs w:val="16"/>
                    </w:rPr>
                    <w:t>For approval at TSG#</w:t>
                  </w:r>
                </w:p>
              </w:tc>
              <w:tc>
                <w:tcPr>
                  <w:tcW w:w="2049" w:type="dxa"/>
                  <w:shd w:val="clear" w:color="auto" w:fill="D9D9D9"/>
                  <w:tcMar>
                    <w:left w:w="57" w:type="dxa"/>
                    <w:right w:w="57" w:type="dxa"/>
                  </w:tcMar>
                  <w:vAlign w:val="center"/>
                </w:tcPr>
                <w:p w14:paraId="678F8717" w14:textId="77777777" w:rsidR="00FF4C8E" w:rsidRDefault="00000000">
                  <w:pPr>
                    <w:spacing w:after="0"/>
                    <w:ind w:right="-99"/>
                    <w:rPr>
                      <w:rFonts w:ascii="Arial" w:eastAsia="Arial" w:hAnsi="Arial" w:cs="Arial"/>
                      <w:sz w:val="16"/>
                      <w:szCs w:val="16"/>
                    </w:rPr>
                  </w:pPr>
                  <w:r>
                    <w:rPr>
                      <w:rFonts w:ascii="Arial" w:eastAsia="Arial" w:hAnsi="Arial" w:cs="Arial"/>
                      <w:sz w:val="16"/>
                      <w:szCs w:val="16"/>
                    </w:rPr>
                    <w:t>Remarks</w:t>
                  </w:r>
                </w:p>
              </w:tc>
            </w:tr>
            <w:tr w:rsidR="00FF4C8E" w14:paraId="7DD0774C" w14:textId="77777777">
              <w:trPr>
                <w:trHeight w:val="1524"/>
              </w:trPr>
              <w:tc>
                <w:tcPr>
                  <w:tcW w:w="1515" w:type="dxa"/>
                </w:tcPr>
                <w:p w14:paraId="5CCEB1E0" w14:textId="77777777" w:rsidR="00FF4C8E" w:rsidRDefault="00000000">
                  <w:pPr>
                    <w:spacing w:after="0"/>
                    <w:rPr>
                      <w:i/>
                    </w:rPr>
                  </w:pPr>
                  <w:r>
                    <w:rPr>
                      <w:i/>
                    </w:rPr>
                    <w:t>Internal</w:t>
                  </w:r>
                </w:p>
              </w:tc>
              <w:tc>
                <w:tcPr>
                  <w:tcW w:w="1062" w:type="dxa"/>
                </w:tcPr>
                <w:p w14:paraId="008AC209" w14:textId="77777777" w:rsidR="00FF4C8E" w:rsidRDefault="00000000">
                  <w:pPr>
                    <w:spacing w:after="0"/>
                    <w:rPr>
                      <w:i/>
                    </w:rPr>
                  </w:pPr>
                  <w:r>
                    <w:rPr>
                      <w:i/>
                    </w:rPr>
                    <w:t>TR38.xxx</w:t>
                  </w:r>
                </w:p>
              </w:tc>
              <w:tc>
                <w:tcPr>
                  <w:tcW w:w="2257" w:type="dxa"/>
                </w:tcPr>
                <w:p w14:paraId="664276B5" w14:textId="77777777" w:rsidR="00FF4C8E" w:rsidRDefault="00000000">
                  <w:pPr>
                    <w:spacing w:after="0"/>
                    <w:rPr>
                      <w:i/>
                    </w:rPr>
                  </w:pPr>
                  <w:r>
                    <w:t>User Equipment (UE) radio transmission and reception for NR Sidelink supporting intra-band CA in ITS band</w:t>
                  </w:r>
                  <w:r>
                    <w:rPr>
                      <w:i/>
                    </w:rPr>
                    <w:t xml:space="preserve"> </w:t>
                  </w:r>
                </w:p>
              </w:tc>
              <w:tc>
                <w:tcPr>
                  <w:tcW w:w="930" w:type="dxa"/>
                </w:tcPr>
                <w:p w14:paraId="1ED0FABD" w14:textId="77777777" w:rsidR="00FF4C8E" w:rsidRDefault="00000000">
                  <w:pPr>
                    <w:spacing w:after="0"/>
                    <w:rPr>
                      <w:i/>
                    </w:rPr>
                  </w:pPr>
                  <w:r>
                    <w:rPr>
                      <w:i/>
                    </w:rPr>
                    <w:t>RAN#108</w:t>
                  </w:r>
                </w:p>
              </w:tc>
              <w:tc>
                <w:tcPr>
                  <w:tcW w:w="1006" w:type="dxa"/>
                </w:tcPr>
                <w:p w14:paraId="522FE2B3" w14:textId="77777777" w:rsidR="00FF4C8E" w:rsidRDefault="00000000">
                  <w:pPr>
                    <w:spacing w:after="0"/>
                    <w:rPr>
                      <w:i/>
                    </w:rPr>
                  </w:pPr>
                  <w:r>
                    <w:rPr>
                      <w:i/>
                      <w:highlight w:val="yellow"/>
                    </w:rPr>
                    <w:t>RAN#109</w:t>
                  </w:r>
                </w:p>
              </w:tc>
              <w:tc>
                <w:tcPr>
                  <w:tcW w:w="2049" w:type="dxa"/>
                </w:tcPr>
                <w:p w14:paraId="1218D628" w14:textId="77777777" w:rsidR="00FF4C8E" w:rsidRDefault="00000000">
                  <w:pPr>
                    <w:rPr>
                      <w:i/>
                    </w:rPr>
                  </w:pPr>
                  <w:r>
                    <w:rPr>
                      <w:i/>
                    </w:rPr>
                    <w:t>Core part :</w:t>
                  </w:r>
                </w:p>
                <w:p w14:paraId="5DDC69F0" w14:textId="77777777" w:rsidR="00FF4C8E" w:rsidRDefault="00000000">
                  <w:pPr>
                    <w:rPr>
                      <w:i/>
                    </w:rPr>
                  </w:pPr>
                  <w:r>
                    <w:rPr>
                      <w:i/>
                    </w:rPr>
                    <w:t>Led by RAN4 WG</w:t>
                  </w:r>
                </w:p>
                <w:p w14:paraId="6BD8F8DF" w14:textId="77777777" w:rsidR="00FF4C8E" w:rsidRDefault="00000000">
                  <w:pPr>
                    <w:spacing w:after="0"/>
                    <w:rPr>
                      <w:i/>
                    </w:rPr>
                  </w:pPr>
                  <w:r>
                    <w:rPr>
                      <w:i/>
                    </w:rPr>
                    <w:t>Rapporteur: Xing, Jinqiang</w:t>
                  </w:r>
                </w:p>
              </w:tc>
            </w:tr>
            <w:tr w:rsidR="00FF4C8E" w14:paraId="18B2C60E" w14:textId="77777777">
              <w:trPr>
                <w:trHeight w:val="207"/>
              </w:trPr>
              <w:tc>
                <w:tcPr>
                  <w:tcW w:w="1515" w:type="dxa"/>
                </w:tcPr>
                <w:p w14:paraId="417D9B37" w14:textId="77777777" w:rsidR="00FF4C8E" w:rsidRDefault="00FF4C8E">
                  <w:pPr>
                    <w:keepNext/>
                    <w:keepLines/>
                    <w:widowControl/>
                    <w:pBdr>
                      <w:top w:val="nil"/>
                      <w:left w:val="nil"/>
                      <w:bottom w:val="nil"/>
                      <w:right w:val="nil"/>
                      <w:between w:val="nil"/>
                    </w:pBdr>
                    <w:spacing w:after="0"/>
                    <w:jc w:val="left"/>
                    <w:rPr>
                      <w:color w:val="000000"/>
                      <w:sz w:val="18"/>
                      <w:szCs w:val="18"/>
                    </w:rPr>
                  </w:pPr>
                </w:p>
              </w:tc>
              <w:tc>
                <w:tcPr>
                  <w:tcW w:w="1062" w:type="dxa"/>
                </w:tcPr>
                <w:p w14:paraId="0AB86985" w14:textId="77777777" w:rsidR="00FF4C8E" w:rsidRDefault="00FF4C8E">
                  <w:pPr>
                    <w:keepNext/>
                    <w:keepLines/>
                    <w:widowControl/>
                    <w:pBdr>
                      <w:top w:val="nil"/>
                      <w:left w:val="nil"/>
                      <w:bottom w:val="nil"/>
                      <w:right w:val="nil"/>
                      <w:between w:val="nil"/>
                    </w:pBdr>
                    <w:spacing w:after="0"/>
                    <w:jc w:val="left"/>
                    <w:rPr>
                      <w:color w:val="000000"/>
                      <w:sz w:val="18"/>
                      <w:szCs w:val="18"/>
                    </w:rPr>
                  </w:pPr>
                </w:p>
              </w:tc>
              <w:tc>
                <w:tcPr>
                  <w:tcW w:w="2257" w:type="dxa"/>
                </w:tcPr>
                <w:p w14:paraId="5FB4D34E" w14:textId="77777777" w:rsidR="00FF4C8E" w:rsidRDefault="00FF4C8E">
                  <w:pPr>
                    <w:keepNext/>
                    <w:keepLines/>
                    <w:widowControl/>
                    <w:pBdr>
                      <w:top w:val="nil"/>
                      <w:left w:val="nil"/>
                      <w:bottom w:val="nil"/>
                      <w:right w:val="nil"/>
                      <w:between w:val="nil"/>
                    </w:pBdr>
                    <w:spacing w:after="0"/>
                    <w:jc w:val="left"/>
                    <w:rPr>
                      <w:color w:val="000000"/>
                      <w:sz w:val="18"/>
                      <w:szCs w:val="18"/>
                    </w:rPr>
                  </w:pPr>
                </w:p>
              </w:tc>
              <w:tc>
                <w:tcPr>
                  <w:tcW w:w="930" w:type="dxa"/>
                </w:tcPr>
                <w:p w14:paraId="371B35D2" w14:textId="77777777" w:rsidR="00FF4C8E" w:rsidRDefault="00FF4C8E">
                  <w:pPr>
                    <w:keepNext/>
                    <w:keepLines/>
                    <w:widowControl/>
                    <w:pBdr>
                      <w:top w:val="nil"/>
                      <w:left w:val="nil"/>
                      <w:bottom w:val="nil"/>
                      <w:right w:val="nil"/>
                      <w:between w:val="nil"/>
                    </w:pBdr>
                    <w:spacing w:after="0"/>
                    <w:jc w:val="left"/>
                    <w:rPr>
                      <w:color w:val="000000"/>
                      <w:sz w:val="18"/>
                      <w:szCs w:val="18"/>
                    </w:rPr>
                  </w:pPr>
                </w:p>
              </w:tc>
              <w:tc>
                <w:tcPr>
                  <w:tcW w:w="1006" w:type="dxa"/>
                </w:tcPr>
                <w:p w14:paraId="29EC9501" w14:textId="77777777" w:rsidR="00FF4C8E" w:rsidRDefault="00FF4C8E">
                  <w:pPr>
                    <w:keepNext/>
                    <w:keepLines/>
                    <w:widowControl/>
                    <w:pBdr>
                      <w:top w:val="nil"/>
                      <w:left w:val="nil"/>
                      <w:bottom w:val="nil"/>
                      <w:right w:val="nil"/>
                      <w:between w:val="nil"/>
                    </w:pBdr>
                    <w:spacing w:after="0"/>
                    <w:jc w:val="left"/>
                    <w:rPr>
                      <w:color w:val="000000"/>
                      <w:sz w:val="18"/>
                      <w:szCs w:val="18"/>
                    </w:rPr>
                  </w:pPr>
                </w:p>
              </w:tc>
              <w:tc>
                <w:tcPr>
                  <w:tcW w:w="2049" w:type="dxa"/>
                </w:tcPr>
                <w:p w14:paraId="741D076D" w14:textId="77777777" w:rsidR="00FF4C8E" w:rsidRDefault="00FF4C8E">
                  <w:pPr>
                    <w:keepNext/>
                    <w:keepLines/>
                    <w:widowControl/>
                    <w:pBdr>
                      <w:top w:val="nil"/>
                      <w:left w:val="nil"/>
                      <w:bottom w:val="nil"/>
                      <w:right w:val="nil"/>
                      <w:between w:val="nil"/>
                    </w:pBdr>
                    <w:spacing w:after="0"/>
                    <w:jc w:val="left"/>
                    <w:rPr>
                      <w:color w:val="000000"/>
                      <w:sz w:val="18"/>
                      <w:szCs w:val="18"/>
                    </w:rPr>
                  </w:pPr>
                </w:p>
              </w:tc>
            </w:tr>
          </w:tbl>
          <w:p w14:paraId="1D64B877" w14:textId="77777777" w:rsidR="00FF4C8E" w:rsidRDefault="00FF4C8E">
            <w:pPr>
              <w:spacing w:after="0"/>
            </w:pPr>
          </w:p>
          <w:p w14:paraId="3C057B9B" w14:textId="77777777" w:rsidR="00FF4C8E" w:rsidRDefault="00FF4C8E">
            <w:pPr>
              <w:widowControl/>
              <w:spacing w:after="0"/>
            </w:pPr>
          </w:p>
        </w:tc>
      </w:tr>
    </w:tbl>
    <w:p w14:paraId="433C9ABC" w14:textId="77777777" w:rsidR="00FF4C8E" w:rsidRDefault="00000000">
      <w:r>
        <w:t xml:space="preserve"> </w:t>
      </w:r>
    </w:p>
    <w:p w14:paraId="0708FFEF" w14:textId="77777777" w:rsidR="00FF4C8E" w:rsidRDefault="00000000">
      <w:r>
        <w:t>In this paper, we provide our preference and how to treat the leftover topic and SL-CA work scope in the first phase Rel-19 timeline.</w:t>
      </w:r>
    </w:p>
    <w:p w14:paraId="7F4F1AEF" w14:textId="77777777" w:rsidR="00FF4C8E" w:rsidRDefault="00000000">
      <w:pPr>
        <w:pStyle w:val="1"/>
        <w:numPr>
          <w:ilvl w:val="0"/>
          <w:numId w:val="5"/>
        </w:numPr>
        <w:spacing w:before="240"/>
        <w:ind w:left="270" w:hanging="270"/>
      </w:pPr>
      <w:r>
        <w:lastRenderedPageBreak/>
        <w:t>Current TS38.101-1 for Sidelink in Rel-18</w:t>
      </w:r>
    </w:p>
    <w:p w14:paraId="18C93BFC" w14:textId="77777777" w:rsidR="00FF4C8E" w:rsidRDefault="00000000">
      <w:pPr>
        <w:pStyle w:val="3"/>
        <w:numPr>
          <w:ilvl w:val="1"/>
          <w:numId w:val="5"/>
        </w:numPr>
        <w:ind w:left="845" w:hanging="851"/>
        <w:rPr>
          <w:b/>
        </w:rPr>
      </w:pPr>
      <w:r>
        <w:rPr>
          <w:b/>
        </w:rPr>
        <w:t>Leftover topics of Sidelink evolution in Rel-18</w:t>
      </w:r>
    </w:p>
    <w:p w14:paraId="7B0F0171" w14:textId="77777777" w:rsidR="00FF4C8E" w:rsidRDefault="00000000">
      <w:pPr>
        <w:spacing w:after="40"/>
      </w:pPr>
      <w:r>
        <w:t>In the last RAN plenary, RAN approved the RAN4 only WI for SL-CA in ITS spectrum. RAN try to reduce RAN4 workload in the Rel-19 timeline. Hence, only 5GAA requests are reflected in the objectives in Rel-19 WI.</w:t>
      </w:r>
    </w:p>
    <w:p w14:paraId="09B75686" w14:textId="77777777" w:rsidR="00FF4C8E" w:rsidRDefault="00000000">
      <w:pPr>
        <w:spacing w:after="40"/>
      </w:pPr>
      <w:r>
        <w:t>However, the Rel-19 completion date is September 2025 and the original scope is just specifying SL-CA in ITS spectrum in rel-19 timeline. It was just one of sub-item compared to the RAN4 objective in Rel-18 SL WI.  So, I believe that RAN4 can be finalized in time if some leftover issues are considered in the Rel-18 maintenance session at the same time.</w:t>
      </w:r>
    </w:p>
    <w:p w14:paraId="597EF991" w14:textId="77777777" w:rsidR="00FF4C8E" w:rsidRDefault="00FF4C8E">
      <w:pPr>
        <w:spacing w:after="40"/>
      </w:pPr>
    </w:p>
    <w:p w14:paraId="773913ED" w14:textId="77777777" w:rsidR="00FF4C8E" w:rsidRDefault="00000000">
      <w:pPr>
        <w:rPr>
          <w:b/>
        </w:rPr>
      </w:pPr>
      <w:r>
        <w:rPr>
          <w:b/>
        </w:rPr>
        <w:t>Observation 1: The above sidelink WI objectives Rel-19 will be studied and completed during 18 months (from April 2024 to September 2025) with the allocated TU (0.25) in RF session. It was just one of sub-item compared to the RAN4 objectives in Rel-18.</w:t>
      </w:r>
    </w:p>
    <w:p w14:paraId="63BE6CA6" w14:textId="77777777" w:rsidR="00FF4C8E" w:rsidRDefault="00000000">
      <w:pPr>
        <w:spacing w:after="40"/>
      </w:pPr>
      <w:r>
        <w:t xml:space="preserve"> </w:t>
      </w:r>
    </w:p>
    <w:p w14:paraId="1B5AF865" w14:textId="77777777" w:rsidR="00FF4C8E" w:rsidRDefault="00000000">
      <w:pPr>
        <w:spacing w:after="40"/>
      </w:pPr>
      <w:r>
        <w:t xml:space="preserve"> Some open issues are not finalized in Rel-18 as follows:</w:t>
      </w:r>
    </w:p>
    <w:p w14:paraId="0BF7F73D" w14:textId="77777777" w:rsidR="00FF4C8E" w:rsidRDefault="00000000">
      <w:pPr>
        <w:numPr>
          <w:ilvl w:val="0"/>
          <w:numId w:val="1"/>
        </w:numPr>
        <w:pBdr>
          <w:top w:val="nil"/>
          <w:left w:val="nil"/>
          <w:bottom w:val="nil"/>
          <w:right w:val="nil"/>
          <w:between w:val="nil"/>
        </w:pBdr>
        <w:spacing w:after="40"/>
      </w:pPr>
      <w:r>
        <w:rPr>
          <w:color w:val="000000"/>
        </w:rPr>
        <w:t xml:space="preserve">SL-CA in ITS spectrum: </w:t>
      </w:r>
      <w:r>
        <w:rPr>
          <w:color w:val="000000"/>
          <w:highlight w:val="green"/>
        </w:rPr>
        <w:t>All leftover issues will be treated in Rel-19 RAN4 WI</w:t>
      </w:r>
    </w:p>
    <w:p w14:paraId="42D489A5" w14:textId="77777777" w:rsidR="00FF4C8E" w:rsidRDefault="00000000">
      <w:pPr>
        <w:numPr>
          <w:ilvl w:val="1"/>
          <w:numId w:val="1"/>
        </w:numPr>
        <w:pBdr>
          <w:top w:val="nil"/>
          <w:left w:val="nil"/>
          <w:bottom w:val="nil"/>
          <w:right w:val="nil"/>
          <w:between w:val="nil"/>
        </w:pBdr>
        <w:spacing w:after="40"/>
      </w:pPr>
      <w:r>
        <w:rPr>
          <w:color w:val="000000"/>
        </w:rPr>
        <w:t>Only defined SL_47B (intra-band contiguous CA) in ITS spectrum with PC3</w:t>
      </w:r>
    </w:p>
    <w:p w14:paraId="6EB15867" w14:textId="77777777" w:rsidR="00FF4C8E" w:rsidRDefault="00000000">
      <w:pPr>
        <w:numPr>
          <w:ilvl w:val="0"/>
          <w:numId w:val="1"/>
        </w:numPr>
        <w:pBdr>
          <w:top w:val="nil"/>
          <w:left w:val="nil"/>
          <w:bottom w:val="nil"/>
          <w:right w:val="nil"/>
          <w:between w:val="nil"/>
        </w:pBdr>
        <w:spacing w:after="40"/>
      </w:pPr>
      <w:r>
        <w:rPr>
          <w:color w:val="000000"/>
        </w:rPr>
        <w:t>Inter-band con-current operation band combinations</w:t>
      </w:r>
    </w:p>
    <w:p w14:paraId="249962FA" w14:textId="77777777" w:rsidR="00FF4C8E" w:rsidRDefault="00000000">
      <w:pPr>
        <w:numPr>
          <w:ilvl w:val="1"/>
          <w:numId w:val="1"/>
        </w:numPr>
        <w:pBdr>
          <w:top w:val="nil"/>
          <w:left w:val="nil"/>
          <w:bottom w:val="nil"/>
          <w:right w:val="nil"/>
          <w:between w:val="nil"/>
        </w:pBdr>
        <w:spacing w:after="40"/>
      </w:pPr>
      <w:r>
        <w:rPr>
          <w:color w:val="000000"/>
        </w:rPr>
        <w:t>RAN4 only added the SL_n78-n46 band combinations</w:t>
      </w:r>
    </w:p>
    <w:p w14:paraId="2B76D887" w14:textId="77777777" w:rsidR="00FF4C8E" w:rsidRDefault="00000000">
      <w:pPr>
        <w:numPr>
          <w:ilvl w:val="1"/>
          <w:numId w:val="1"/>
        </w:numPr>
        <w:pBdr>
          <w:top w:val="nil"/>
          <w:left w:val="nil"/>
          <w:bottom w:val="nil"/>
          <w:right w:val="nil"/>
          <w:between w:val="nil"/>
        </w:pBdr>
        <w:spacing w:after="40"/>
        <w:rPr>
          <w:color w:val="000000"/>
          <w:highlight w:val="yellow"/>
        </w:rPr>
      </w:pPr>
      <w:r>
        <w:rPr>
          <w:color w:val="000000"/>
          <w:highlight w:val="yellow"/>
        </w:rPr>
        <w:t>Additional inter-band con-current operation will be treated in SL Basket WI in Rel-19</w:t>
      </w:r>
    </w:p>
    <w:p w14:paraId="095D865E" w14:textId="77777777" w:rsidR="00FF4C8E" w:rsidRDefault="00000000">
      <w:pPr>
        <w:numPr>
          <w:ilvl w:val="2"/>
          <w:numId w:val="1"/>
        </w:numPr>
        <w:pBdr>
          <w:top w:val="nil"/>
          <w:left w:val="nil"/>
          <w:bottom w:val="nil"/>
          <w:right w:val="nil"/>
          <w:between w:val="nil"/>
        </w:pBdr>
        <w:spacing w:after="40"/>
        <w:rPr>
          <w:color w:val="000000"/>
          <w:highlight w:val="yellow"/>
        </w:rPr>
      </w:pPr>
      <w:r>
        <w:rPr>
          <w:color w:val="000000"/>
          <w:highlight w:val="yellow"/>
        </w:rPr>
        <w:t>LTE /NR (Uu) + NR(SL-U) or LTE/NR (Uu) + LTE/NR (SL)</w:t>
      </w:r>
    </w:p>
    <w:p w14:paraId="63F87706" w14:textId="77777777" w:rsidR="00FF4C8E" w:rsidRDefault="00000000">
      <w:pPr>
        <w:numPr>
          <w:ilvl w:val="0"/>
          <w:numId w:val="1"/>
        </w:numPr>
        <w:pBdr>
          <w:top w:val="nil"/>
          <w:left w:val="nil"/>
          <w:bottom w:val="nil"/>
          <w:right w:val="nil"/>
          <w:between w:val="nil"/>
        </w:pBdr>
        <w:spacing w:after="40"/>
      </w:pPr>
      <w:r>
        <w:rPr>
          <w:color w:val="000000"/>
        </w:rPr>
        <w:t>SL-U in unlicensed band:</w:t>
      </w:r>
    </w:p>
    <w:p w14:paraId="4DFB07D5" w14:textId="77777777" w:rsidR="00FF4C8E" w:rsidRDefault="00000000">
      <w:pPr>
        <w:numPr>
          <w:ilvl w:val="1"/>
          <w:numId w:val="1"/>
        </w:numPr>
        <w:pBdr>
          <w:top w:val="nil"/>
          <w:left w:val="nil"/>
          <w:bottom w:val="nil"/>
          <w:right w:val="nil"/>
          <w:between w:val="nil"/>
        </w:pBdr>
        <w:spacing w:after="40"/>
      </w:pPr>
      <w:r>
        <w:rPr>
          <w:color w:val="000000"/>
        </w:rPr>
        <w:t xml:space="preserve">Only defined power class 5 SL-U UE </w:t>
      </w:r>
    </w:p>
    <w:p w14:paraId="32684A60" w14:textId="77777777" w:rsidR="00FF4C8E" w:rsidRDefault="00000000">
      <w:pPr>
        <w:pBdr>
          <w:top w:val="nil"/>
          <w:left w:val="nil"/>
          <w:bottom w:val="nil"/>
          <w:right w:val="nil"/>
          <w:between w:val="nil"/>
        </w:pBdr>
        <w:spacing w:after="40"/>
        <w:ind w:left="1440"/>
        <w:rPr>
          <w:color w:val="000000"/>
        </w:rPr>
      </w:pPr>
      <w:r>
        <w:rPr>
          <w:rFonts w:ascii="Wingdings" w:eastAsia="Wingdings" w:hAnsi="Wingdings" w:cs="Wingdings"/>
          <w:b/>
          <w:color w:val="000000"/>
          <w:highlight w:val="yellow"/>
        </w:rPr>
        <w:t>🡪</w:t>
      </w:r>
      <w:r>
        <w:rPr>
          <w:b/>
          <w:color w:val="000000"/>
          <w:highlight w:val="yellow"/>
        </w:rPr>
        <w:t xml:space="preserve"> Need to define power class 3 SL-U UE</w:t>
      </w:r>
      <w:r>
        <w:rPr>
          <w:b/>
          <w:color w:val="000000"/>
        </w:rPr>
        <w:t xml:space="preserve"> (this is treated as 2</w:t>
      </w:r>
      <w:r>
        <w:rPr>
          <w:b/>
          <w:color w:val="000000"/>
          <w:vertAlign w:val="superscript"/>
        </w:rPr>
        <w:t>nd</w:t>
      </w:r>
      <w:r>
        <w:rPr>
          <w:b/>
          <w:color w:val="000000"/>
        </w:rPr>
        <w:t xml:space="preserve"> priority) in Rel-18</w:t>
      </w:r>
    </w:p>
    <w:p w14:paraId="65FA101A" w14:textId="77777777" w:rsidR="00FF4C8E" w:rsidRDefault="00000000">
      <w:pPr>
        <w:numPr>
          <w:ilvl w:val="1"/>
          <w:numId w:val="1"/>
        </w:numPr>
        <w:pBdr>
          <w:top w:val="nil"/>
          <w:left w:val="nil"/>
          <w:bottom w:val="nil"/>
          <w:right w:val="nil"/>
          <w:between w:val="nil"/>
        </w:pBdr>
        <w:spacing w:after="40"/>
      </w:pPr>
      <w:r>
        <w:rPr>
          <w:color w:val="000000"/>
        </w:rPr>
        <w:t>Some example NR bands (n46, n96, n102) are supported in Rel-18.</w:t>
      </w:r>
    </w:p>
    <w:p w14:paraId="45489D5F" w14:textId="08CA9948" w:rsidR="00FF4C8E" w:rsidRDefault="00000000">
      <w:pPr>
        <w:numPr>
          <w:ilvl w:val="2"/>
          <w:numId w:val="1"/>
        </w:numPr>
        <w:pBdr>
          <w:top w:val="nil"/>
          <w:left w:val="nil"/>
          <w:bottom w:val="nil"/>
          <w:right w:val="nil"/>
          <w:between w:val="nil"/>
        </w:pBdr>
        <w:spacing w:after="40"/>
      </w:pPr>
      <w:r>
        <w:rPr>
          <w:color w:val="000000"/>
        </w:rPr>
        <w:t xml:space="preserve">Regulatory limitation of the additional emission requirements had been not considered in some countries </w:t>
      </w:r>
      <w:r w:rsidR="0036371D" w:rsidRPr="0036371D">
        <w:rPr>
          <w:rFonts w:eastAsia="Wingdings"/>
          <w:color w:val="000000"/>
        </w:rPr>
        <w:sym w:font="Wingdings" w:char="F0E0"/>
      </w:r>
      <w:r w:rsidR="0036371D">
        <w:rPr>
          <w:rFonts w:eastAsia="Wingdings"/>
          <w:color w:val="000000"/>
        </w:rPr>
        <w:t xml:space="preserve"> </w:t>
      </w:r>
      <w:r>
        <w:rPr>
          <w:b/>
          <w:color w:val="000000"/>
          <w:highlight w:val="yellow"/>
        </w:rPr>
        <w:t xml:space="preserve">Need to define additional A-MPR requirements to comply the regulatory requirements in other countries </w:t>
      </w:r>
      <w:r>
        <w:rPr>
          <w:b/>
          <w:color w:val="000000"/>
        </w:rPr>
        <w:t xml:space="preserve"> </w:t>
      </w:r>
      <w:r>
        <w:rPr>
          <w:b/>
          <w:color w:val="000000"/>
          <w:highlight w:val="yellow"/>
        </w:rPr>
        <w:t>i.e., NS_28, NS_29, NS_30, NS_54… can be supported.</w:t>
      </w:r>
    </w:p>
    <w:p w14:paraId="0DCA1CE2" w14:textId="77777777" w:rsidR="00FF4C8E" w:rsidRDefault="00000000">
      <w:pPr>
        <w:numPr>
          <w:ilvl w:val="1"/>
          <w:numId w:val="1"/>
        </w:numPr>
        <w:pBdr>
          <w:top w:val="nil"/>
          <w:left w:val="nil"/>
          <w:bottom w:val="nil"/>
          <w:right w:val="nil"/>
          <w:between w:val="nil"/>
        </w:pBdr>
        <w:spacing w:after="40"/>
      </w:pPr>
      <w:r>
        <w:rPr>
          <w:color w:val="000000"/>
        </w:rPr>
        <w:t>FCC regulatory requirements if FCC announce the final emission limits in ITS spectrum</w:t>
      </w:r>
    </w:p>
    <w:p w14:paraId="1DC2B5A3" w14:textId="24263194" w:rsidR="00FF4C8E" w:rsidRDefault="00000000">
      <w:pPr>
        <w:numPr>
          <w:ilvl w:val="2"/>
          <w:numId w:val="1"/>
        </w:numPr>
        <w:pBdr>
          <w:top w:val="nil"/>
          <w:left w:val="nil"/>
          <w:bottom w:val="nil"/>
          <w:right w:val="nil"/>
          <w:between w:val="nil"/>
        </w:pBdr>
        <w:spacing w:after="40"/>
      </w:pPr>
      <w:r>
        <w:rPr>
          <w:color w:val="000000"/>
        </w:rPr>
        <w:t xml:space="preserve">In LTE SL operation, RAN4 only </w:t>
      </w:r>
      <w:r>
        <w:t>considers</w:t>
      </w:r>
      <w:r>
        <w:rPr>
          <w:color w:val="000000"/>
        </w:rPr>
        <w:t xml:space="preserve"> the European regulatory requirements.</w:t>
      </w:r>
      <w:r w:rsidR="0036371D" w:rsidRPr="0036371D">
        <w:rPr>
          <w:rFonts w:eastAsia="Wingdings"/>
          <w:color w:val="000000"/>
        </w:rPr>
        <w:t xml:space="preserve"> </w:t>
      </w:r>
      <w:r w:rsidR="0036371D" w:rsidRPr="0036371D">
        <w:rPr>
          <w:rFonts w:eastAsia="Wingdings"/>
          <w:color w:val="000000"/>
        </w:rPr>
        <w:sym w:font="Wingdings" w:char="F0E0"/>
      </w:r>
      <w:r>
        <w:rPr>
          <w:b/>
          <w:color w:val="000000"/>
          <w:highlight w:val="yellow"/>
        </w:rPr>
        <w:t xml:space="preserve"> Need to add FCC regulatory requirements in ITS spectrum</w:t>
      </w:r>
      <w:r>
        <w:rPr>
          <w:b/>
          <w:color w:val="000000"/>
        </w:rPr>
        <w:t xml:space="preserve"> </w:t>
      </w:r>
      <w:r>
        <w:rPr>
          <w:b/>
          <w:color w:val="000000"/>
          <w:highlight w:val="yellow"/>
        </w:rPr>
        <w:t>when the FCC announce the final emission limits</w:t>
      </w:r>
    </w:p>
    <w:p w14:paraId="51BEF625" w14:textId="4CBAD3DC" w:rsidR="00FF4C8E" w:rsidRDefault="00000000">
      <w:pPr>
        <w:numPr>
          <w:ilvl w:val="2"/>
          <w:numId w:val="1"/>
        </w:numPr>
        <w:pBdr>
          <w:top w:val="nil"/>
          <w:left w:val="nil"/>
          <w:bottom w:val="nil"/>
          <w:right w:val="nil"/>
          <w:between w:val="nil"/>
        </w:pBdr>
        <w:spacing w:after="40"/>
      </w:pPr>
      <w:r>
        <w:rPr>
          <w:color w:val="000000"/>
        </w:rPr>
        <w:t xml:space="preserve">In NR SL operation, wrong emission requirements are reflected in TS38.101-1. </w:t>
      </w:r>
      <w:r w:rsidR="0036371D" w:rsidRPr="0036371D">
        <w:rPr>
          <w:rFonts w:eastAsia="Wingdings"/>
          <w:color w:val="000000"/>
        </w:rPr>
        <w:sym w:font="Wingdings" w:char="F0E0"/>
      </w:r>
      <w:r>
        <w:rPr>
          <w:b/>
          <w:color w:val="000000"/>
          <w:highlight w:val="yellow"/>
        </w:rPr>
        <w:t xml:space="preserve"> Need to update A-MPR of NS_52 when the FCC announce the final emission limits</w:t>
      </w:r>
    </w:p>
    <w:p w14:paraId="25F5D1AB" w14:textId="77777777" w:rsidR="00FF4C8E" w:rsidRDefault="00FF4C8E">
      <w:pPr>
        <w:rPr>
          <w:b/>
        </w:rPr>
      </w:pPr>
    </w:p>
    <w:p w14:paraId="627959FF" w14:textId="77777777" w:rsidR="00FF4C8E" w:rsidRDefault="00000000">
      <w:r>
        <w:t>Therefore, we propose that some leftover issues in SL-U will be covered in the Rel-18 maintenance session.</w:t>
      </w:r>
    </w:p>
    <w:p w14:paraId="647E7369" w14:textId="77777777" w:rsidR="00FF4C8E" w:rsidRDefault="00000000">
      <w:pPr>
        <w:rPr>
          <w:b/>
        </w:rPr>
      </w:pPr>
      <w:r>
        <w:rPr>
          <w:b/>
        </w:rPr>
        <w:t xml:space="preserve">Proposal 1: </w:t>
      </w:r>
      <w:r w:rsidRPr="0036371D">
        <w:rPr>
          <w:b/>
          <w:i/>
          <w:iCs/>
        </w:rPr>
        <w:t>Some leftover issues can be treated in the Rel-18 maintenance session to complete the remaining issues of SL-U operation</w:t>
      </w:r>
      <w:r>
        <w:rPr>
          <w:b/>
        </w:rPr>
        <w:t xml:space="preserve">.  </w:t>
      </w:r>
    </w:p>
    <w:p w14:paraId="621E72F0" w14:textId="77777777" w:rsidR="00FF4C8E" w:rsidRDefault="00FF4C8E"/>
    <w:p w14:paraId="452C3B54" w14:textId="77777777" w:rsidR="00FF4C8E" w:rsidRDefault="00000000">
      <w:pPr>
        <w:pStyle w:val="3"/>
        <w:numPr>
          <w:ilvl w:val="1"/>
          <w:numId w:val="5"/>
        </w:numPr>
        <w:ind w:left="845" w:hanging="851"/>
        <w:rPr>
          <w:b/>
        </w:rPr>
      </w:pPr>
      <w:r>
        <w:rPr>
          <w:b/>
        </w:rPr>
        <w:t>Scope in sidelink evolution in Rel-19</w:t>
      </w:r>
    </w:p>
    <w:p w14:paraId="4CECCCB2" w14:textId="77777777" w:rsidR="00FF4C8E" w:rsidRDefault="00000000">
      <w:r>
        <w:t xml:space="preserve">In session 2.2, we share our preference on how to define the SL-CA operation including intra-band contiguous CA with power class 2 and intra-band non-contiguous CA with both power class 3 and power class 2 in ITS spectrum. </w:t>
      </w:r>
    </w:p>
    <w:p w14:paraId="3375B7EF" w14:textId="77777777" w:rsidR="00FF4C8E" w:rsidRDefault="00FF4C8E"/>
    <w:p w14:paraId="461E1B8C" w14:textId="77777777" w:rsidR="00FF4C8E" w:rsidRDefault="00000000">
      <w:r>
        <w:t>In current TS38.101-1, RAN4 only support PC3 SL-CA in n47 with bandwidth class B as follows:</w:t>
      </w:r>
    </w:p>
    <w:p w14:paraId="0C13ADE4" w14:textId="77777777" w:rsidR="00FF4C8E" w:rsidRDefault="00FF4C8E"/>
    <w:tbl>
      <w:tblPr>
        <w:tblStyle w:val="aff0"/>
        <w:tblW w:w="901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FF4C8E" w14:paraId="5A8C8BF8" w14:textId="77777777">
        <w:tc>
          <w:tcPr>
            <w:tcW w:w="9019" w:type="dxa"/>
          </w:tcPr>
          <w:p w14:paraId="6A02CA1C" w14:textId="77777777" w:rsidR="00FF4C8E" w:rsidRDefault="00000000">
            <w:pPr>
              <w:spacing w:after="60"/>
            </w:pPr>
            <w:r>
              <w:t>Captured in TS38.101-1 [2]</w:t>
            </w:r>
          </w:p>
          <w:p w14:paraId="08107C8D" w14:textId="77777777" w:rsidR="00FF4C8E" w:rsidRDefault="00000000">
            <w:pPr>
              <w:pStyle w:val="4"/>
              <w:spacing w:before="120"/>
            </w:pPr>
            <w:r>
              <w:t>6.2E.1.1A</w:t>
            </w:r>
            <w:r>
              <w:tab/>
              <w:t>UE maximum output power for sidelink CA</w:t>
            </w:r>
          </w:p>
          <w:p w14:paraId="7B86E1AB" w14:textId="77777777" w:rsidR="00FF4C8E" w:rsidRDefault="00000000">
            <w:pPr>
              <w:tabs>
                <w:tab w:val="left" w:pos="1985"/>
              </w:tabs>
              <w:spacing w:after="280"/>
            </w:pPr>
            <w:r>
              <w:t>For the intra-band SL CA operation, the following NR SL CA UE Power Classes define the maximum output power for any transmission bandwidth within the channel bandwidth. The period of measurement shall be at least one sub frame (1ms).</w:t>
            </w:r>
          </w:p>
          <w:p w14:paraId="008C6306" w14:textId="77777777" w:rsidR="00FF4C8E" w:rsidRDefault="00000000">
            <w:pPr>
              <w:keepNext/>
              <w:keepLines/>
              <w:widowControl/>
              <w:pBdr>
                <w:top w:val="nil"/>
                <w:left w:val="nil"/>
                <w:bottom w:val="nil"/>
                <w:right w:val="nil"/>
                <w:between w:val="nil"/>
              </w:pBdr>
              <w:spacing w:before="60"/>
              <w:jc w:val="center"/>
              <w:rPr>
                <w:b/>
                <w:color w:val="000000"/>
                <w:sz w:val="20"/>
                <w:szCs w:val="20"/>
              </w:rPr>
            </w:pPr>
            <w:r>
              <w:rPr>
                <w:b/>
                <w:color w:val="000000"/>
                <w:sz w:val="20"/>
                <w:szCs w:val="20"/>
              </w:rPr>
              <w:t>Table 6.2E.1.1A-1: NR SL CA UE Power Class</w:t>
            </w:r>
          </w:p>
          <w:tbl>
            <w:tblPr>
              <w:tblStyle w:val="aff1"/>
              <w:tblW w:w="888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17"/>
              <w:gridCol w:w="811"/>
              <w:gridCol w:w="972"/>
              <w:gridCol w:w="802"/>
              <w:gridCol w:w="978"/>
              <w:gridCol w:w="776"/>
              <w:gridCol w:w="989"/>
              <w:gridCol w:w="771"/>
              <w:gridCol w:w="973"/>
            </w:tblGrid>
            <w:tr w:rsidR="00FF4C8E" w14:paraId="579E2398" w14:textId="77777777">
              <w:trPr>
                <w:trHeight w:val="659"/>
                <w:jc w:val="center"/>
              </w:trPr>
              <w:tc>
                <w:tcPr>
                  <w:tcW w:w="1818" w:type="dxa"/>
                  <w:vAlign w:val="center"/>
                </w:tcPr>
                <w:p w14:paraId="24BF8113" w14:textId="77777777" w:rsidR="00FF4C8E" w:rsidRDefault="00000000">
                  <w:pPr>
                    <w:keepNext/>
                    <w:keepLines/>
                    <w:spacing w:after="0"/>
                    <w:jc w:val="center"/>
                    <w:rPr>
                      <w:rFonts w:ascii="Arial" w:eastAsia="Arial" w:hAnsi="Arial" w:cs="Arial"/>
                      <w:b/>
                      <w:sz w:val="18"/>
                      <w:szCs w:val="18"/>
                    </w:rPr>
                  </w:pPr>
                  <w:r>
                    <w:rPr>
                      <w:rFonts w:ascii="Arial" w:eastAsia="Arial" w:hAnsi="Arial" w:cs="Arial"/>
                      <w:b/>
                      <w:sz w:val="18"/>
                      <w:szCs w:val="18"/>
                    </w:rPr>
                    <w:t>NR SL CA band Configuration</w:t>
                  </w:r>
                </w:p>
              </w:tc>
              <w:tc>
                <w:tcPr>
                  <w:tcW w:w="811" w:type="dxa"/>
                </w:tcPr>
                <w:p w14:paraId="61C7699A" w14:textId="77777777" w:rsidR="00FF4C8E" w:rsidRDefault="00000000">
                  <w:pPr>
                    <w:keepNext/>
                    <w:keepLines/>
                    <w:spacing w:after="0"/>
                    <w:jc w:val="center"/>
                    <w:rPr>
                      <w:rFonts w:ascii="Arial" w:eastAsia="Arial" w:hAnsi="Arial" w:cs="Arial"/>
                      <w:b/>
                      <w:sz w:val="18"/>
                      <w:szCs w:val="18"/>
                    </w:rPr>
                  </w:pPr>
                  <w:r>
                    <w:rPr>
                      <w:rFonts w:ascii="Arial" w:eastAsia="Arial" w:hAnsi="Arial" w:cs="Arial"/>
                      <w:b/>
                      <w:sz w:val="18"/>
                      <w:szCs w:val="18"/>
                    </w:rPr>
                    <w:t>Class 1 (dBm)</w:t>
                  </w:r>
                </w:p>
              </w:tc>
              <w:tc>
                <w:tcPr>
                  <w:tcW w:w="972" w:type="dxa"/>
                </w:tcPr>
                <w:p w14:paraId="3A2B2B06" w14:textId="77777777" w:rsidR="00FF4C8E" w:rsidRDefault="00000000">
                  <w:pPr>
                    <w:keepNext/>
                    <w:keepLines/>
                    <w:spacing w:after="0"/>
                    <w:jc w:val="center"/>
                    <w:rPr>
                      <w:rFonts w:ascii="Arial" w:eastAsia="Arial" w:hAnsi="Arial" w:cs="Arial"/>
                      <w:b/>
                      <w:sz w:val="18"/>
                      <w:szCs w:val="18"/>
                    </w:rPr>
                  </w:pPr>
                  <w:r>
                    <w:rPr>
                      <w:rFonts w:ascii="Arial" w:eastAsia="Arial" w:hAnsi="Arial" w:cs="Arial"/>
                      <w:b/>
                      <w:sz w:val="18"/>
                      <w:szCs w:val="18"/>
                    </w:rPr>
                    <w:t>Tolerance (dB)</w:t>
                  </w:r>
                </w:p>
              </w:tc>
              <w:tc>
                <w:tcPr>
                  <w:tcW w:w="802" w:type="dxa"/>
                </w:tcPr>
                <w:p w14:paraId="251E60E5" w14:textId="77777777" w:rsidR="00FF4C8E" w:rsidRDefault="00000000">
                  <w:pPr>
                    <w:keepNext/>
                    <w:keepLines/>
                    <w:spacing w:after="0"/>
                    <w:jc w:val="center"/>
                    <w:rPr>
                      <w:rFonts w:ascii="Arial" w:eastAsia="Arial" w:hAnsi="Arial" w:cs="Arial"/>
                      <w:b/>
                      <w:sz w:val="18"/>
                      <w:szCs w:val="18"/>
                    </w:rPr>
                  </w:pPr>
                  <w:r>
                    <w:rPr>
                      <w:rFonts w:ascii="Arial" w:eastAsia="Arial" w:hAnsi="Arial" w:cs="Arial"/>
                      <w:b/>
                      <w:sz w:val="18"/>
                      <w:szCs w:val="18"/>
                    </w:rPr>
                    <w:t>Class 2 (dBm)</w:t>
                  </w:r>
                </w:p>
              </w:tc>
              <w:tc>
                <w:tcPr>
                  <w:tcW w:w="978" w:type="dxa"/>
                </w:tcPr>
                <w:p w14:paraId="1977F142" w14:textId="77777777" w:rsidR="00FF4C8E" w:rsidRDefault="00000000">
                  <w:pPr>
                    <w:keepNext/>
                    <w:keepLines/>
                    <w:spacing w:after="0"/>
                    <w:jc w:val="center"/>
                    <w:rPr>
                      <w:rFonts w:ascii="Arial" w:eastAsia="Arial" w:hAnsi="Arial" w:cs="Arial"/>
                      <w:b/>
                      <w:sz w:val="18"/>
                      <w:szCs w:val="18"/>
                    </w:rPr>
                  </w:pPr>
                  <w:r>
                    <w:rPr>
                      <w:rFonts w:ascii="Arial" w:eastAsia="Arial" w:hAnsi="Arial" w:cs="Arial"/>
                      <w:b/>
                      <w:sz w:val="18"/>
                      <w:szCs w:val="18"/>
                    </w:rPr>
                    <w:t>Tolerance (dB)</w:t>
                  </w:r>
                </w:p>
              </w:tc>
              <w:tc>
                <w:tcPr>
                  <w:tcW w:w="776" w:type="dxa"/>
                </w:tcPr>
                <w:p w14:paraId="296F3011" w14:textId="77777777" w:rsidR="00FF4C8E" w:rsidRDefault="00000000">
                  <w:pPr>
                    <w:keepNext/>
                    <w:keepLines/>
                    <w:spacing w:after="0"/>
                    <w:jc w:val="center"/>
                    <w:rPr>
                      <w:rFonts w:ascii="Arial" w:eastAsia="Arial" w:hAnsi="Arial" w:cs="Arial"/>
                      <w:b/>
                      <w:sz w:val="18"/>
                      <w:szCs w:val="18"/>
                    </w:rPr>
                  </w:pPr>
                  <w:r>
                    <w:rPr>
                      <w:rFonts w:ascii="Arial" w:eastAsia="Arial" w:hAnsi="Arial" w:cs="Arial"/>
                      <w:b/>
                      <w:sz w:val="18"/>
                      <w:szCs w:val="18"/>
                    </w:rPr>
                    <w:t>Class 3 (dBm)</w:t>
                  </w:r>
                </w:p>
              </w:tc>
              <w:tc>
                <w:tcPr>
                  <w:tcW w:w="989" w:type="dxa"/>
                </w:tcPr>
                <w:p w14:paraId="2993D3C5" w14:textId="77777777" w:rsidR="00FF4C8E" w:rsidRDefault="00000000">
                  <w:pPr>
                    <w:keepNext/>
                    <w:keepLines/>
                    <w:spacing w:after="0"/>
                    <w:jc w:val="center"/>
                    <w:rPr>
                      <w:rFonts w:ascii="Arial" w:eastAsia="Arial" w:hAnsi="Arial" w:cs="Arial"/>
                      <w:b/>
                      <w:sz w:val="18"/>
                      <w:szCs w:val="18"/>
                    </w:rPr>
                  </w:pPr>
                  <w:r>
                    <w:rPr>
                      <w:rFonts w:ascii="Arial" w:eastAsia="Arial" w:hAnsi="Arial" w:cs="Arial"/>
                      <w:b/>
                      <w:sz w:val="18"/>
                      <w:szCs w:val="18"/>
                    </w:rPr>
                    <w:t>Tolerance (dB)</w:t>
                  </w:r>
                </w:p>
              </w:tc>
              <w:tc>
                <w:tcPr>
                  <w:tcW w:w="771" w:type="dxa"/>
                </w:tcPr>
                <w:p w14:paraId="272FED02" w14:textId="77777777" w:rsidR="00FF4C8E" w:rsidRDefault="00000000">
                  <w:pPr>
                    <w:keepNext/>
                    <w:keepLines/>
                    <w:spacing w:after="0"/>
                    <w:jc w:val="center"/>
                    <w:rPr>
                      <w:rFonts w:ascii="Arial" w:eastAsia="Arial" w:hAnsi="Arial" w:cs="Arial"/>
                      <w:b/>
                      <w:sz w:val="18"/>
                      <w:szCs w:val="18"/>
                    </w:rPr>
                  </w:pPr>
                  <w:r>
                    <w:rPr>
                      <w:rFonts w:ascii="Arial" w:eastAsia="Arial" w:hAnsi="Arial" w:cs="Arial"/>
                      <w:b/>
                      <w:sz w:val="18"/>
                      <w:szCs w:val="18"/>
                    </w:rPr>
                    <w:t>Class 4 (dBm)</w:t>
                  </w:r>
                </w:p>
              </w:tc>
              <w:tc>
                <w:tcPr>
                  <w:tcW w:w="973" w:type="dxa"/>
                </w:tcPr>
                <w:p w14:paraId="74A4214B" w14:textId="77777777" w:rsidR="00FF4C8E" w:rsidRDefault="00000000">
                  <w:pPr>
                    <w:keepNext/>
                    <w:keepLines/>
                    <w:spacing w:after="0"/>
                    <w:jc w:val="center"/>
                    <w:rPr>
                      <w:rFonts w:ascii="Arial" w:eastAsia="Arial" w:hAnsi="Arial" w:cs="Arial"/>
                      <w:b/>
                      <w:sz w:val="18"/>
                      <w:szCs w:val="18"/>
                    </w:rPr>
                  </w:pPr>
                  <w:r>
                    <w:rPr>
                      <w:rFonts w:ascii="Arial" w:eastAsia="Arial" w:hAnsi="Arial" w:cs="Arial"/>
                      <w:b/>
                      <w:sz w:val="18"/>
                      <w:szCs w:val="18"/>
                    </w:rPr>
                    <w:t>Tolerance (dB)</w:t>
                  </w:r>
                </w:p>
              </w:tc>
            </w:tr>
            <w:tr w:rsidR="00FF4C8E" w14:paraId="75EBBB3C" w14:textId="77777777">
              <w:trPr>
                <w:trHeight w:val="418"/>
                <w:jc w:val="center"/>
              </w:trPr>
              <w:tc>
                <w:tcPr>
                  <w:tcW w:w="1818" w:type="dxa"/>
                  <w:vAlign w:val="center"/>
                </w:tcPr>
                <w:p w14:paraId="68C8670B" w14:textId="77777777" w:rsidR="00FF4C8E"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SL _n47B</w:t>
                  </w:r>
                </w:p>
              </w:tc>
              <w:tc>
                <w:tcPr>
                  <w:tcW w:w="811" w:type="dxa"/>
                  <w:vAlign w:val="center"/>
                </w:tcPr>
                <w:p w14:paraId="6B25EF41" w14:textId="77777777" w:rsidR="00FF4C8E" w:rsidRDefault="00FF4C8E">
                  <w:pPr>
                    <w:keepNext/>
                    <w:keepLines/>
                    <w:widowControl/>
                    <w:pBdr>
                      <w:top w:val="nil"/>
                      <w:left w:val="nil"/>
                      <w:bottom w:val="nil"/>
                      <w:right w:val="nil"/>
                      <w:between w:val="nil"/>
                    </w:pBdr>
                    <w:spacing w:after="0"/>
                    <w:jc w:val="center"/>
                    <w:rPr>
                      <w:color w:val="000000"/>
                      <w:sz w:val="18"/>
                      <w:szCs w:val="18"/>
                    </w:rPr>
                  </w:pPr>
                </w:p>
              </w:tc>
              <w:tc>
                <w:tcPr>
                  <w:tcW w:w="972" w:type="dxa"/>
                  <w:vAlign w:val="center"/>
                </w:tcPr>
                <w:p w14:paraId="29587DC9" w14:textId="77777777" w:rsidR="00FF4C8E" w:rsidRDefault="00FF4C8E">
                  <w:pPr>
                    <w:keepNext/>
                    <w:keepLines/>
                    <w:widowControl/>
                    <w:pBdr>
                      <w:top w:val="nil"/>
                      <w:left w:val="nil"/>
                      <w:bottom w:val="nil"/>
                      <w:right w:val="nil"/>
                      <w:between w:val="nil"/>
                    </w:pBdr>
                    <w:spacing w:after="0"/>
                    <w:jc w:val="center"/>
                    <w:rPr>
                      <w:color w:val="000000"/>
                      <w:sz w:val="18"/>
                      <w:szCs w:val="18"/>
                    </w:rPr>
                  </w:pPr>
                </w:p>
              </w:tc>
              <w:tc>
                <w:tcPr>
                  <w:tcW w:w="802" w:type="dxa"/>
                  <w:vAlign w:val="center"/>
                </w:tcPr>
                <w:p w14:paraId="42DE5485" w14:textId="77777777" w:rsidR="00FF4C8E" w:rsidRDefault="00FF4C8E">
                  <w:pPr>
                    <w:keepNext/>
                    <w:keepLines/>
                    <w:widowControl/>
                    <w:pBdr>
                      <w:top w:val="nil"/>
                      <w:left w:val="nil"/>
                      <w:bottom w:val="nil"/>
                      <w:right w:val="nil"/>
                      <w:between w:val="nil"/>
                    </w:pBdr>
                    <w:spacing w:after="0"/>
                    <w:jc w:val="center"/>
                    <w:rPr>
                      <w:color w:val="000000"/>
                      <w:sz w:val="18"/>
                      <w:szCs w:val="18"/>
                    </w:rPr>
                  </w:pPr>
                </w:p>
              </w:tc>
              <w:tc>
                <w:tcPr>
                  <w:tcW w:w="978" w:type="dxa"/>
                  <w:vAlign w:val="center"/>
                </w:tcPr>
                <w:p w14:paraId="665D5D9D" w14:textId="77777777" w:rsidR="00FF4C8E" w:rsidRDefault="00FF4C8E">
                  <w:pPr>
                    <w:keepNext/>
                    <w:keepLines/>
                    <w:widowControl/>
                    <w:pBdr>
                      <w:top w:val="nil"/>
                      <w:left w:val="nil"/>
                      <w:bottom w:val="nil"/>
                      <w:right w:val="nil"/>
                      <w:between w:val="nil"/>
                    </w:pBdr>
                    <w:spacing w:after="0"/>
                    <w:jc w:val="center"/>
                    <w:rPr>
                      <w:color w:val="000000"/>
                      <w:sz w:val="18"/>
                      <w:szCs w:val="18"/>
                    </w:rPr>
                  </w:pPr>
                </w:p>
              </w:tc>
              <w:tc>
                <w:tcPr>
                  <w:tcW w:w="776" w:type="dxa"/>
                  <w:vAlign w:val="center"/>
                </w:tcPr>
                <w:p w14:paraId="26DD2E12" w14:textId="77777777" w:rsidR="00FF4C8E"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989" w:type="dxa"/>
                  <w:vAlign w:val="center"/>
                </w:tcPr>
                <w:p w14:paraId="0E3D40CF" w14:textId="77777777" w:rsidR="00FF4C8E"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w:t>
                  </w:r>
                </w:p>
              </w:tc>
              <w:tc>
                <w:tcPr>
                  <w:tcW w:w="771" w:type="dxa"/>
                  <w:vAlign w:val="center"/>
                </w:tcPr>
                <w:p w14:paraId="5EEBF7A0" w14:textId="77777777" w:rsidR="00FF4C8E" w:rsidRDefault="00FF4C8E">
                  <w:pPr>
                    <w:keepNext/>
                    <w:keepLines/>
                    <w:widowControl/>
                    <w:pBdr>
                      <w:top w:val="nil"/>
                      <w:left w:val="nil"/>
                      <w:bottom w:val="nil"/>
                      <w:right w:val="nil"/>
                      <w:between w:val="nil"/>
                    </w:pBdr>
                    <w:spacing w:after="0"/>
                    <w:jc w:val="center"/>
                    <w:rPr>
                      <w:color w:val="000000"/>
                      <w:sz w:val="18"/>
                      <w:szCs w:val="18"/>
                    </w:rPr>
                  </w:pPr>
                </w:p>
              </w:tc>
              <w:tc>
                <w:tcPr>
                  <w:tcW w:w="973" w:type="dxa"/>
                  <w:vAlign w:val="center"/>
                </w:tcPr>
                <w:p w14:paraId="1D879855" w14:textId="77777777" w:rsidR="00FF4C8E" w:rsidRDefault="00FF4C8E">
                  <w:pPr>
                    <w:keepNext/>
                    <w:keepLines/>
                    <w:widowControl/>
                    <w:pBdr>
                      <w:top w:val="nil"/>
                      <w:left w:val="nil"/>
                      <w:bottom w:val="nil"/>
                      <w:right w:val="nil"/>
                      <w:between w:val="nil"/>
                    </w:pBdr>
                    <w:spacing w:after="0"/>
                    <w:jc w:val="center"/>
                    <w:rPr>
                      <w:color w:val="000000"/>
                      <w:sz w:val="18"/>
                      <w:szCs w:val="18"/>
                    </w:rPr>
                  </w:pPr>
                </w:p>
              </w:tc>
            </w:tr>
            <w:tr w:rsidR="00FF4C8E" w14:paraId="0574504B" w14:textId="77777777">
              <w:trPr>
                <w:trHeight w:val="495"/>
                <w:jc w:val="center"/>
              </w:trPr>
              <w:tc>
                <w:tcPr>
                  <w:tcW w:w="8890" w:type="dxa"/>
                  <w:gridSpan w:val="9"/>
                  <w:vAlign w:val="center"/>
                </w:tcPr>
                <w:p w14:paraId="6F7ADC23" w14:textId="77777777" w:rsidR="00FF4C8E" w:rsidRDefault="00000000">
                  <w:pPr>
                    <w:keepNext/>
                    <w:keepLines/>
                    <w:widowControl/>
                    <w:pBdr>
                      <w:top w:val="nil"/>
                      <w:left w:val="nil"/>
                      <w:bottom w:val="nil"/>
                      <w:right w:val="nil"/>
                      <w:between w:val="nil"/>
                    </w:pBdr>
                    <w:spacing w:after="0"/>
                    <w:ind w:left="851" w:hanging="851"/>
                    <w:jc w:val="left"/>
                    <w:rPr>
                      <w:color w:val="000000"/>
                      <w:sz w:val="18"/>
                      <w:szCs w:val="18"/>
                    </w:rPr>
                  </w:pPr>
                  <w:r>
                    <w:rPr>
                      <w:color w:val="000000"/>
                      <w:sz w:val="18"/>
                      <w:szCs w:val="18"/>
                    </w:rPr>
                    <w:t>NOTE 1: P</w:t>
                  </w:r>
                  <w:r>
                    <w:rPr>
                      <w:color w:val="000000"/>
                      <w:sz w:val="18"/>
                      <w:szCs w:val="18"/>
                      <w:vertAlign w:val="subscript"/>
                    </w:rPr>
                    <w:t>PowerClass</w:t>
                  </w:r>
                  <w:r>
                    <w:rPr>
                      <w:color w:val="000000"/>
                      <w:sz w:val="18"/>
                      <w:szCs w:val="18"/>
                    </w:rPr>
                    <w:t xml:space="preserve"> is the maximum UE power specified without taking into account the tolerance </w:t>
                  </w:r>
                </w:p>
                <w:p w14:paraId="575C27EB" w14:textId="77777777" w:rsidR="00FF4C8E" w:rsidRDefault="00000000">
                  <w:pPr>
                    <w:keepNext/>
                    <w:keepLines/>
                    <w:widowControl/>
                    <w:pBdr>
                      <w:top w:val="nil"/>
                      <w:left w:val="nil"/>
                      <w:bottom w:val="nil"/>
                      <w:right w:val="nil"/>
                      <w:between w:val="nil"/>
                    </w:pBdr>
                    <w:spacing w:after="0"/>
                    <w:ind w:left="851" w:hanging="851"/>
                    <w:jc w:val="left"/>
                    <w:rPr>
                      <w:color w:val="000000"/>
                      <w:sz w:val="18"/>
                      <w:szCs w:val="18"/>
                    </w:rPr>
                  </w:pPr>
                  <w:r>
                    <w:rPr>
                      <w:color w:val="000000"/>
                      <w:sz w:val="18"/>
                      <w:szCs w:val="18"/>
                    </w:rPr>
                    <w:t>NOTE 2: For intra-band SL CA UE, the maximum power requirement apply to the total transmitted power over all component carriers (per UE).</w:t>
                  </w:r>
                </w:p>
              </w:tc>
            </w:tr>
          </w:tbl>
          <w:p w14:paraId="5A3912A1" w14:textId="77777777" w:rsidR="00FF4C8E" w:rsidRDefault="00FF4C8E">
            <w:pPr>
              <w:ind w:firstLine="3261"/>
            </w:pPr>
          </w:p>
        </w:tc>
      </w:tr>
    </w:tbl>
    <w:p w14:paraId="5CE28EFF" w14:textId="77777777" w:rsidR="00FF4C8E" w:rsidRDefault="00FF4C8E">
      <w:pPr>
        <w:spacing w:after="0"/>
      </w:pPr>
    </w:p>
    <w:p w14:paraId="7A94A7AC" w14:textId="77777777" w:rsidR="00FF4C8E" w:rsidRDefault="00000000">
      <w:r>
        <w:t>As proposed by 5GAA, RAN4 can focus on the intra-band non-contiguous SL-CA band combinations with 10MHz (CC1) + 10MHz (CC2) or 10MHz (CC1) + 20MHz (CC2) as the aggregated channel bandwidths for both power class 2 and power class 3 in Rel-19. Also, the SL_n47B can be enhanced to support power class 2 (26dBm) in the ITS spectrum with the CA bandwidth class B in TS38.101-1 in Rel-19.</w:t>
      </w:r>
    </w:p>
    <w:p w14:paraId="33F165ED" w14:textId="77777777" w:rsidR="00FF4C8E" w:rsidRDefault="00FF4C8E">
      <w:pPr>
        <w:spacing w:after="0"/>
      </w:pPr>
    </w:p>
    <w:p w14:paraId="4EDFF310" w14:textId="77777777" w:rsidR="00FF4C8E" w:rsidRDefault="00000000">
      <w:pPr>
        <w:pStyle w:val="3"/>
        <w:numPr>
          <w:ilvl w:val="1"/>
          <w:numId w:val="5"/>
        </w:numPr>
        <w:ind w:left="845" w:hanging="851"/>
        <w:rPr>
          <w:b/>
        </w:rPr>
      </w:pPr>
      <w:r>
        <w:rPr>
          <w:b/>
        </w:rPr>
        <w:t>Consideration on intra-band contiguous/non-contiguous SL CA in ITS spectrum</w:t>
      </w:r>
    </w:p>
    <w:p w14:paraId="007C8EF9" w14:textId="77777777" w:rsidR="00FF4C8E" w:rsidRDefault="00FF4C8E">
      <w:pPr>
        <w:spacing w:after="0" w:line="180" w:lineRule="auto"/>
      </w:pPr>
    </w:p>
    <w:p w14:paraId="458597FC" w14:textId="77777777" w:rsidR="00FF4C8E" w:rsidRDefault="00000000">
      <w:pPr>
        <w:numPr>
          <w:ilvl w:val="0"/>
          <w:numId w:val="3"/>
        </w:numPr>
        <w:pBdr>
          <w:top w:val="nil"/>
          <w:left w:val="nil"/>
          <w:bottom w:val="nil"/>
          <w:right w:val="nil"/>
          <w:between w:val="nil"/>
        </w:pBdr>
        <w:spacing w:after="60"/>
        <w:ind w:left="714" w:hanging="357"/>
        <w:rPr>
          <w:b/>
          <w:color w:val="000000"/>
        </w:rPr>
      </w:pPr>
      <w:r>
        <w:rPr>
          <w:b/>
          <w:color w:val="000000"/>
        </w:rPr>
        <w:t>Intra-band contiguous SL CA for power class 2</w:t>
      </w:r>
    </w:p>
    <w:p w14:paraId="31247ADC" w14:textId="77777777" w:rsidR="00FF4C8E" w:rsidRDefault="00000000">
      <w:pPr>
        <w:pBdr>
          <w:top w:val="nil"/>
          <w:left w:val="nil"/>
          <w:bottom w:val="nil"/>
          <w:right w:val="nil"/>
          <w:between w:val="nil"/>
        </w:pBdr>
        <w:rPr>
          <w:color w:val="000000"/>
        </w:rPr>
      </w:pPr>
      <w:r>
        <w:rPr>
          <w:color w:val="000000"/>
        </w:rPr>
        <w:t xml:space="preserve">To derive the intra-band contiguous CA RF requirements, RAN4 can re-consider the RF core requirements of LTE SL-CA UE except MPR/A-MPR core requirements. The MPR/A-MPR requirements for power class 2 will be </w:t>
      </w:r>
      <w:r>
        <w:t>evaluated in the</w:t>
      </w:r>
      <w:r>
        <w:rPr>
          <w:color w:val="000000"/>
        </w:rPr>
        <w:t xml:space="preserve"> simulation campaign from interested companies.</w:t>
      </w:r>
    </w:p>
    <w:p w14:paraId="5F8A26D5" w14:textId="77777777" w:rsidR="00FF4C8E" w:rsidRDefault="00000000">
      <w:pPr>
        <w:pBdr>
          <w:top w:val="nil"/>
          <w:left w:val="nil"/>
          <w:bottom w:val="nil"/>
          <w:right w:val="nil"/>
          <w:between w:val="nil"/>
        </w:pBdr>
        <w:rPr>
          <w:color w:val="000000"/>
        </w:rPr>
      </w:pPr>
      <w:r>
        <w:rPr>
          <w:color w:val="000000"/>
        </w:rPr>
        <w:t>The MPR/A-MPR simulation assumptions can be reused in TR38.786 [3] as follows:</w:t>
      </w:r>
    </w:p>
    <w:p w14:paraId="52009C35" w14:textId="77777777" w:rsidR="00FF4C8E" w:rsidRDefault="00000000">
      <w:pPr>
        <w:spacing w:after="60"/>
        <w:jc w:val="center"/>
        <w:rPr>
          <w:b/>
        </w:rPr>
      </w:pPr>
      <w:r>
        <w:rPr>
          <w:b/>
        </w:rPr>
        <w:t>Table 1. Simulation assumption for NR SL CA operation in Rel-19</w:t>
      </w:r>
    </w:p>
    <w:tbl>
      <w:tblPr>
        <w:tblStyle w:val="aff2"/>
        <w:tblW w:w="893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86"/>
        <w:gridCol w:w="6345"/>
      </w:tblGrid>
      <w:tr w:rsidR="00FF4C8E" w14:paraId="66217419" w14:textId="77777777">
        <w:trPr>
          <w:trHeight w:val="126"/>
          <w:jc w:val="center"/>
        </w:trPr>
        <w:tc>
          <w:tcPr>
            <w:tcW w:w="2586" w:type="dxa"/>
            <w:shd w:val="clear" w:color="auto" w:fill="auto"/>
          </w:tcPr>
          <w:p w14:paraId="7C758D7E" w14:textId="77777777" w:rsidR="00FF4C8E" w:rsidRDefault="00000000">
            <w:pPr>
              <w:keepNext/>
              <w:keepLines/>
              <w:pBdr>
                <w:top w:val="nil"/>
                <w:left w:val="nil"/>
                <w:bottom w:val="nil"/>
                <w:right w:val="nil"/>
                <w:between w:val="nil"/>
              </w:pBdr>
              <w:spacing w:after="0"/>
              <w:jc w:val="center"/>
              <w:rPr>
                <w:color w:val="000000"/>
                <w:sz w:val="20"/>
                <w:szCs w:val="20"/>
              </w:rPr>
            </w:pPr>
            <w:r>
              <w:rPr>
                <w:color w:val="000000"/>
                <w:sz w:val="20"/>
                <w:szCs w:val="20"/>
              </w:rPr>
              <w:t>Center frequency</w:t>
            </w:r>
          </w:p>
        </w:tc>
        <w:tc>
          <w:tcPr>
            <w:tcW w:w="6345" w:type="dxa"/>
            <w:shd w:val="clear" w:color="auto" w:fill="auto"/>
          </w:tcPr>
          <w:p w14:paraId="44C21EB9" w14:textId="77777777" w:rsidR="00FF4C8E" w:rsidRDefault="00000000">
            <w:pPr>
              <w:keepNext/>
              <w:keepLines/>
              <w:pBdr>
                <w:top w:val="nil"/>
                <w:left w:val="nil"/>
                <w:bottom w:val="nil"/>
                <w:right w:val="nil"/>
                <w:between w:val="nil"/>
              </w:pBdr>
              <w:spacing w:after="0"/>
              <w:jc w:val="left"/>
              <w:rPr>
                <w:color w:val="000000"/>
                <w:sz w:val="20"/>
                <w:szCs w:val="20"/>
              </w:rPr>
            </w:pPr>
            <w:r>
              <w:rPr>
                <w:color w:val="000000"/>
                <w:sz w:val="20"/>
                <w:szCs w:val="20"/>
              </w:rPr>
              <w:t>5.</w:t>
            </w:r>
            <w:r>
              <w:rPr>
                <w:sz w:val="20"/>
                <w:szCs w:val="20"/>
              </w:rPr>
              <w:t>9</w:t>
            </w:r>
            <w:r>
              <w:rPr>
                <w:color w:val="000000"/>
                <w:sz w:val="20"/>
                <w:szCs w:val="20"/>
              </w:rPr>
              <w:t>GHz</w:t>
            </w:r>
          </w:p>
        </w:tc>
      </w:tr>
      <w:tr w:rsidR="00FF4C8E" w14:paraId="0B646F25" w14:textId="77777777">
        <w:trPr>
          <w:trHeight w:val="128"/>
          <w:jc w:val="center"/>
        </w:trPr>
        <w:tc>
          <w:tcPr>
            <w:tcW w:w="2586" w:type="dxa"/>
            <w:shd w:val="clear" w:color="auto" w:fill="auto"/>
          </w:tcPr>
          <w:p w14:paraId="2C6FDB91" w14:textId="77777777" w:rsidR="00FF4C8E" w:rsidRDefault="00000000">
            <w:pPr>
              <w:keepNext/>
              <w:keepLines/>
              <w:pBdr>
                <w:top w:val="nil"/>
                <w:left w:val="nil"/>
                <w:bottom w:val="nil"/>
                <w:right w:val="nil"/>
                <w:between w:val="nil"/>
              </w:pBdr>
              <w:spacing w:after="0"/>
              <w:jc w:val="center"/>
              <w:rPr>
                <w:color w:val="000000"/>
                <w:sz w:val="20"/>
                <w:szCs w:val="20"/>
              </w:rPr>
            </w:pPr>
            <w:r>
              <w:rPr>
                <w:color w:val="000000"/>
                <w:sz w:val="20"/>
                <w:szCs w:val="20"/>
              </w:rPr>
              <w:t>Bandwidth</w:t>
            </w:r>
          </w:p>
        </w:tc>
        <w:tc>
          <w:tcPr>
            <w:tcW w:w="6345" w:type="dxa"/>
            <w:shd w:val="clear" w:color="auto" w:fill="auto"/>
          </w:tcPr>
          <w:p w14:paraId="5A472683" w14:textId="77777777" w:rsidR="00FF4C8E" w:rsidRDefault="00000000">
            <w:pPr>
              <w:keepNext/>
              <w:keepLines/>
              <w:pBdr>
                <w:top w:val="nil"/>
                <w:left w:val="nil"/>
                <w:bottom w:val="nil"/>
                <w:right w:val="nil"/>
                <w:between w:val="nil"/>
              </w:pBdr>
              <w:spacing w:after="0"/>
              <w:jc w:val="left"/>
              <w:rPr>
                <w:color w:val="000000"/>
                <w:sz w:val="20"/>
                <w:szCs w:val="20"/>
              </w:rPr>
            </w:pPr>
            <w:r>
              <w:rPr>
                <w:color w:val="000000"/>
                <w:sz w:val="20"/>
                <w:szCs w:val="20"/>
              </w:rPr>
              <w:t>Intra-band contiguous CA: per CC (10/20/30/40MHz), Aggregated CBW: Table 5.2.3-1 (up to 70MHz CBW)</w:t>
            </w:r>
          </w:p>
          <w:p w14:paraId="769D4B73" w14:textId="77777777" w:rsidR="00FF4C8E" w:rsidRDefault="00000000">
            <w:pPr>
              <w:keepNext/>
              <w:keepLines/>
              <w:pBdr>
                <w:top w:val="nil"/>
                <w:left w:val="nil"/>
                <w:bottom w:val="nil"/>
                <w:right w:val="nil"/>
                <w:between w:val="nil"/>
              </w:pBdr>
              <w:spacing w:after="0"/>
              <w:jc w:val="left"/>
              <w:rPr>
                <w:color w:val="000000"/>
                <w:sz w:val="20"/>
                <w:szCs w:val="20"/>
              </w:rPr>
            </w:pPr>
            <w:r>
              <w:rPr>
                <w:color w:val="000000"/>
                <w:sz w:val="20"/>
                <w:szCs w:val="20"/>
              </w:rPr>
              <w:t>Intra-band non-contiguous CA : 10MHz+10MHz or 10MHz +20MHz</w:t>
            </w:r>
          </w:p>
        </w:tc>
      </w:tr>
      <w:tr w:rsidR="00FF4C8E" w14:paraId="2BBF1685" w14:textId="77777777">
        <w:trPr>
          <w:trHeight w:val="146"/>
          <w:jc w:val="center"/>
        </w:trPr>
        <w:tc>
          <w:tcPr>
            <w:tcW w:w="2586" w:type="dxa"/>
            <w:shd w:val="clear" w:color="auto" w:fill="auto"/>
          </w:tcPr>
          <w:p w14:paraId="2708955E" w14:textId="77777777" w:rsidR="00FF4C8E" w:rsidRDefault="00000000">
            <w:pPr>
              <w:keepNext/>
              <w:keepLines/>
              <w:pBdr>
                <w:top w:val="nil"/>
                <w:left w:val="nil"/>
                <w:bottom w:val="nil"/>
                <w:right w:val="nil"/>
                <w:between w:val="nil"/>
              </w:pBdr>
              <w:spacing w:after="0"/>
              <w:jc w:val="center"/>
              <w:rPr>
                <w:color w:val="000000"/>
                <w:sz w:val="20"/>
                <w:szCs w:val="20"/>
              </w:rPr>
            </w:pPr>
            <w:r>
              <w:rPr>
                <w:color w:val="000000"/>
                <w:sz w:val="20"/>
                <w:szCs w:val="20"/>
              </w:rPr>
              <w:t>Maximum output power for aggregated CBW</w:t>
            </w:r>
          </w:p>
        </w:tc>
        <w:tc>
          <w:tcPr>
            <w:tcW w:w="6345" w:type="dxa"/>
            <w:shd w:val="clear" w:color="auto" w:fill="auto"/>
          </w:tcPr>
          <w:p w14:paraId="0F56F019" w14:textId="77777777" w:rsidR="00FF4C8E" w:rsidRDefault="00000000">
            <w:pPr>
              <w:keepNext/>
              <w:keepLines/>
              <w:pBdr>
                <w:top w:val="nil"/>
                <w:left w:val="nil"/>
                <w:bottom w:val="nil"/>
                <w:right w:val="nil"/>
                <w:between w:val="nil"/>
              </w:pBdr>
              <w:spacing w:after="0"/>
              <w:jc w:val="left"/>
              <w:rPr>
                <w:color w:val="000000"/>
                <w:sz w:val="20"/>
                <w:szCs w:val="20"/>
              </w:rPr>
            </w:pPr>
            <w:r>
              <w:rPr>
                <w:color w:val="000000"/>
                <w:sz w:val="20"/>
                <w:szCs w:val="20"/>
              </w:rPr>
              <w:t>Intra-band contiguous SL-CA: 26dBm</w:t>
            </w:r>
          </w:p>
          <w:p w14:paraId="1545A45C" w14:textId="77777777" w:rsidR="00FF4C8E" w:rsidRDefault="00000000">
            <w:pPr>
              <w:keepNext/>
              <w:keepLines/>
              <w:pBdr>
                <w:top w:val="nil"/>
                <w:left w:val="nil"/>
                <w:bottom w:val="nil"/>
                <w:right w:val="nil"/>
                <w:between w:val="nil"/>
              </w:pBdr>
              <w:spacing w:after="0"/>
              <w:jc w:val="left"/>
              <w:rPr>
                <w:color w:val="000000"/>
                <w:sz w:val="20"/>
                <w:szCs w:val="20"/>
              </w:rPr>
            </w:pPr>
            <w:r>
              <w:rPr>
                <w:color w:val="000000"/>
                <w:sz w:val="20"/>
                <w:szCs w:val="20"/>
              </w:rPr>
              <w:t>Intra-band non-contiguous SL-CA: 23dBm</w:t>
            </w:r>
          </w:p>
        </w:tc>
      </w:tr>
      <w:tr w:rsidR="00FF4C8E" w14:paraId="2309BF4D" w14:textId="77777777">
        <w:trPr>
          <w:trHeight w:val="141"/>
          <w:jc w:val="center"/>
        </w:trPr>
        <w:tc>
          <w:tcPr>
            <w:tcW w:w="2586" w:type="dxa"/>
            <w:shd w:val="clear" w:color="auto" w:fill="auto"/>
          </w:tcPr>
          <w:p w14:paraId="5CCFAF87" w14:textId="77777777" w:rsidR="00FF4C8E" w:rsidRDefault="00000000">
            <w:pPr>
              <w:keepNext/>
              <w:keepLines/>
              <w:pBdr>
                <w:top w:val="nil"/>
                <w:left w:val="nil"/>
                <w:bottom w:val="nil"/>
                <w:right w:val="nil"/>
                <w:between w:val="nil"/>
              </w:pBdr>
              <w:spacing w:after="0"/>
              <w:jc w:val="center"/>
              <w:rPr>
                <w:color w:val="000000"/>
                <w:sz w:val="20"/>
                <w:szCs w:val="20"/>
              </w:rPr>
            </w:pPr>
            <w:r>
              <w:rPr>
                <w:color w:val="000000"/>
                <w:sz w:val="20"/>
                <w:szCs w:val="20"/>
              </w:rPr>
              <w:t>Numerology</w:t>
            </w:r>
          </w:p>
        </w:tc>
        <w:tc>
          <w:tcPr>
            <w:tcW w:w="6345" w:type="dxa"/>
            <w:shd w:val="clear" w:color="auto" w:fill="auto"/>
          </w:tcPr>
          <w:p w14:paraId="268DA543" w14:textId="77777777" w:rsidR="00FF4C8E" w:rsidRDefault="00000000">
            <w:pPr>
              <w:keepNext/>
              <w:keepLines/>
              <w:pBdr>
                <w:top w:val="nil"/>
                <w:left w:val="nil"/>
                <w:bottom w:val="nil"/>
                <w:right w:val="nil"/>
                <w:between w:val="nil"/>
              </w:pBdr>
              <w:spacing w:after="0"/>
              <w:jc w:val="left"/>
              <w:rPr>
                <w:color w:val="000000"/>
                <w:sz w:val="20"/>
                <w:szCs w:val="20"/>
              </w:rPr>
            </w:pPr>
            <w:r>
              <w:rPr>
                <w:color w:val="000000"/>
                <w:sz w:val="20"/>
                <w:szCs w:val="20"/>
              </w:rPr>
              <w:t>15 kHz/30kHz/60kHz</w:t>
            </w:r>
          </w:p>
        </w:tc>
      </w:tr>
      <w:tr w:rsidR="00FF4C8E" w14:paraId="4DC8DA4A" w14:textId="77777777">
        <w:trPr>
          <w:trHeight w:val="151"/>
          <w:jc w:val="center"/>
        </w:trPr>
        <w:tc>
          <w:tcPr>
            <w:tcW w:w="2586" w:type="dxa"/>
            <w:shd w:val="clear" w:color="auto" w:fill="auto"/>
          </w:tcPr>
          <w:p w14:paraId="47FCBD25" w14:textId="77777777" w:rsidR="00FF4C8E" w:rsidRDefault="00000000">
            <w:pPr>
              <w:keepNext/>
              <w:keepLines/>
              <w:pBdr>
                <w:top w:val="nil"/>
                <w:left w:val="nil"/>
                <w:bottom w:val="nil"/>
                <w:right w:val="nil"/>
                <w:between w:val="nil"/>
              </w:pBdr>
              <w:spacing w:after="0"/>
              <w:jc w:val="center"/>
              <w:rPr>
                <w:color w:val="000000"/>
                <w:sz w:val="20"/>
                <w:szCs w:val="20"/>
              </w:rPr>
            </w:pPr>
            <w:r>
              <w:rPr>
                <w:color w:val="000000"/>
                <w:sz w:val="20"/>
                <w:szCs w:val="20"/>
              </w:rPr>
              <w:t>Modulation per CC</w:t>
            </w:r>
          </w:p>
        </w:tc>
        <w:tc>
          <w:tcPr>
            <w:tcW w:w="6345" w:type="dxa"/>
            <w:shd w:val="clear" w:color="auto" w:fill="auto"/>
          </w:tcPr>
          <w:p w14:paraId="45F11BEB" w14:textId="77777777" w:rsidR="00FF4C8E" w:rsidRDefault="00000000">
            <w:pPr>
              <w:keepNext/>
              <w:keepLines/>
              <w:pBdr>
                <w:top w:val="nil"/>
                <w:left w:val="nil"/>
                <w:bottom w:val="nil"/>
                <w:right w:val="nil"/>
                <w:between w:val="nil"/>
              </w:pBdr>
              <w:spacing w:after="0"/>
              <w:jc w:val="left"/>
              <w:rPr>
                <w:color w:val="000000"/>
                <w:sz w:val="20"/>
                <w:szCs w:val="20"/>
              </w:rPr>
            </w:pPr>
            <w:r>
              <w:rPr>
                <w:color w:val="000000"/>
                <w:sz w:val="20"/>
                <w:szCs w:val="20"/>
              </w:rPr>
              <w:t>QPSK/16QAM/64QAM/256QAM</w:t>
            </w:r>
          </w:p>
        </w:tc>
      </w:tr>
      <w:tr w:rsidR="00FF4C8E" w14:paraId="1A390CA4" w14:textId="77777777">
        <w:trPr>
          <w:trHeight w:val="153"/>
          <w:jc w:val="center"/>
        </w:trPr>
        <w:tc>
          <w:tcPr>
            <w:tcW w:w="2586" w:type="dxa"/>
            <w:shd w:val="clear" w:color="auto" w:fill="auto"/>
          </w:tcPr>
          <w:p w14:paraId="2D6B3382" w14:textId="77777777" w:rsidR="00FF4C8E" w:rsidRDefault="00000000">
            <w:pPr>
              <w:keepNext/>
              <w:keepLines/>
              <w:pBdr>
                <w:top w:val="nil"/>
                <w:left w:val="nil"/>
                <w:bottom w:val="nil"/>
                <w:right w:val="nil"/>
                <w:between w:val="nil"/>
              </w:pBdr>
              <w:spacing w:after="0"/>
              <w:jc w:val="center"/>
              <w:rPr>
                <w:color w:val="000000"/>
                <w:sz w:val="20"/>
                <w:szCs w:val="20"/>
              </w:rPr>
            </w:pPr>
            <w:r>
              <w:rPr>
                <w:color w:val="000000"/>
                <w:sz w:val="20"/>
                <w:szCs w:val="20"/>
              </w:rPr>
              <w:t>Waveform</w:t>
            </w:r>
          </w:p>
        </w:tc>
        <w:tc>
          <w:tcPr>
            <w:tcW w:w="6345" w:type="dxa"/>
            <w:shd w:val="clear" w:color="auto" w:fill="auto"/>
          </w:tcPr>
          <w:p w14:paraId="04A3C7EA" w14:textId="77777777" w:rsidR="00FF4C8E" w:rsidRDefault="00000000">
            <w:pPr>
              <w:keepNext/>
              <w:keepLines/>
              <w:pBdr>
                <w:top w:val="nil"/>
                <w:left w:val="nil"/>
                <w:bottom w:val="nil"/>
                <w:right w:val="nil"/>
                <w:between w:val="nil"/>
              </w:pBdr>
              <w:spacing w:after="0"/>
              <w:jc w:val="left"/>
              <w:rPr>
                <w:color w:val="000000"/>
                <w:sz w:val="20"/>
                <w:szCs w:val="20"/>
              </w:rPr>
            </w:pPr>
            <w:r>
              <w:rPr>
                <w:color w:val="000000"/>
                <w:sz w:val="20"/>
                <w:szCs w:val="20"/>
              </w:rPr>
              <w:t>CP-OFDM</w:t>
            </w:r>
          </w:p>
        </w:tc>
      </w:tr>
      <w:tr w:rsidR="00FF4C8E" w14:paraId="03438152" w14:textId="77777777">
        <w:trPr>
          <w:trHeight w:val="153"/>
          <w:jc w:val="center"/>
        </w:trPr>
        <w:tc>
          <w:tcPr>
            <w:tcW w:w="2586" w:type="dxa"/>
            <w:shd w:val="clear" w:color="auto" w:fill="auto"/>
          </w:tcPr>
          <w:p w14:paraId="19A69EA3" w14:textId="77777777" w:rsidR="00FF4C8E" w:rsidRDefault="00000000">
            <w:pPr>
              <w:keepNext/>
              <w:keepLines/>
              <w:pBdr>
                <w:top w:val="nil"/>
                <w:left w:val="nil"/>
                <w:bottom w:val="nil"/>
                <w:right w:val="nil"/>
                <w:between w:val="nil"/>
              </w:pBdr>
              <w:spacing w:after="0"/>
              <w:jc w:val="center"/>
              <w:rPr>
                <w:color w:val="000000"/>
                <w:sz w:val="20"/>
                <w:szCs w:val="20"/>
              </w:rPr>
            </w:pPr>
            <w:r>
              <w:rPr>
                <w:color w:val="000000"/>
                <w:sz w:val="20"/>
                <w:szCs w:val="20"/>
              </w:rPr>
              <w:t>ACLR</w:t>
            </w:r>
          </w:p>
        </w:tc>
        <w:tc>
          <w:tcPr>
            <w:tcW w:w="6345" w:type="dxa"/>
            <w:shd w:val="clear" w:color="auto" w:fill="auto"/>
          </w:tcPr>
          <w:p w14:paraId="28208964" w14:textId="77777777" w:rsidR="00FF4C8E" w:rsidRDefault="00000000">
            <w:pPr>
              <w:keepNext/>
              <w:keepLines/>
              <w:pBdr>
                <w:top w:val="nil"/>
                <w:left w:val="nil"/>
                <w:bottom w:val="nil"/>
                <w:right w:val="nil"/>
                <w:between w:val="nil"/>
              </w:pBdr>
              <w:spacing w:after="0"/>
              <w:jc w:val="left"/>
              <w:rPr>
                <w:color w:val="000000"/>
                <w:sz w:val="20"/>
                <w:szCs w:val="20"/>
              </w:rPr>
            </w:pPr>
            <w:r>
              <w:rPr>
                <w:color w:val="000000"/>
                <w:sz w:val="20"/>
                <w:szCs w:val="20"/>
              </w:rPr>
              <w:t>31dBc</w:t>
            </w:r>
          </w:p>
        </w:tc>
      </w:tr>
      <w:tr w:rsidR="00FF4C8E" w14:paraId="2E51DC7D" w14:textId="77777777">
        <w:trPr>
          <w:trHeight w:val="140"/>
          <w:jc w:val="center"/>
        </w:trPr>
        <w:tc>
          <w:tcPr>
            <w:tcW w:w="2586" w:type="dxa"/>
            <w:shd w:val="clear" w:color="auto" w:fill="auto"/>
          </w:tcPr>
          <w:p w14:paraId="4FC4DEE9" w14:textId="77777777" w:rsidR="00FF4C8E" w:rsidRDefault="00000000">
            <w:pPr>
              <w:keepNext/>
              <w:keepLines/>
              <w:pBdr>
                <w:top w:val="nil"/>
                <w:left w:val="nil"/>
                <w:bottom w:val="nil"/>
                <w:right w:val="nil"/>
                <w:between w:val="nil"/>
              </w:pBdr>
              <w:spacing w:after="0"/>
              <w:jc w:val="center"/>
              <w:rPr>
                <w:color w:val="000000"/>
                <w:sz w:val="20"/>
                <w:szCs w:val="20"/>
              </w:rPr>
            </w:pPr>
            <w:r>
              <w:rPr>
                <w:color w:val="000000"/>
                <w:sz w:val="20"/>
                <w:szCs w:val="20"/>
              </w:rPr>
              <w:t>Carrier leakage</w:t>
            </w:r>
          </w:p>
        </w:tc>
        <w:tc>
          <w:tcPr>
            <w:tcW w:w="6345" w:type="dxa"/>
            <w:shd w:val="clear" w:color="auto" w:fill="auto"/>
          </w:tcPr>
          <w:p w14:paraId="4EA86C5C" w14:textId="77777777" w:rsidR="00FF4C8E" w:rsidRDefault="00000000">
            <w:pPr>
              <w:keepNext/>
              <w:keepLines/>
              <w:pBdr>
                <w:top w:val="nil"/>
                <w:left w:val="nil"/>
                <w:bottom w:val="nil"/>
                <w:right w:val="nil"/>
                <w:between w:val="nil"/>
              </w:pBdr>
              <w:spacing w:after="0"/>
              <w:jc w:val="left"/>
              <w:rPr>
                <w:color w:val="000000"/>
                <w:sz w:val="20"/>
                <w:szCs w:val="20"/>
              </w:rPr>
            </w:pPr>
            <w:r>
              <w:rPr>
                <w:color w:val="000000"/>
                <w:sz w:val="20"/>
                <w:szCs w:val="20"/>
              </w:rPr>
              <w:t>34dBc</w:t>
            </w:r>
          </w:p>
        </w:tc>
      </w:tr>
      <w:tr w:rsidR="00FF4C8E" w14:paraId="62645868" w14:textId="77777777">
        <w:trPr>
          <w:trHeight w:val="150"/>
          <w:jc w:val="center"/>
        </w:trPr>
        <w:tc>
          <w:tcPr>
            <w:tcW w:w="2586" w:type="dxa"/>
            <w:shd w:val="clear" w:color="auto" w:fill="auto"/>
          </w:tcPr>
          <w:p w14:paraId="158483CD" w14:textId="77777777" w:rsidR="00FF4C8E" w:rsidRDefault="00000000">
            <w:pPr>
              <w:keepNext/>
              <w:keepLines/>
              <w:pBdr>
                <w:top w:val="nil"/>
                <w:left w:val="nil"/>
                <w:bottom w:val="nil"/>
                <w:right w:val="nil"/>
                <w:between w:val="nil"/>
              </w:pBdr>
              <w:spacing w:after="0"/>
              <w:jc w:val="center"/>
              <w:rPr>
                <w:color w:val="000000"/>
                <w:sz w:val="20"/>
                <w:szCs w:val="20"/>
              </w:rPr>
            </w:pPr>
            <w:r>
              <w:rPr>
                <w:color w:val="000000"/>
                <w:sz w:val="20"/>
                <w:szCs w:val="20"/>
              </w:rPr>
              <w:t>IQ image</w:t>
            </w:r>
          </w:p>
        </w:tc>
        <w:tc>
          <w:tcPr>
            <w:tcW w:w="6345" w:type="dxa"/>
            <w:shd w:val="clear" w:color="auto" w:fill="auto"/>
          </w:tcPr>
          <w:p w14:paraId="17C10187" w14:textId="77777777" w:rsidR="00FF4C8E" w:rsidRDefault="00000000">
            <w:pPr>
              <w:keepNext/>
              <w:keepLines/>
              <w:pBdr>
                <w:top w:val="nil"/>
                <w:left w:val="nil"/>
                <w:bottom w:val="nil"/>
                <w:right w:val="nil"/>
                <w:between w:val="nil"/>
              </w:pBdr>
              <w:spacing w:after="0"/>
              <w:jc w:val="left"/>
              <w:rPr>
                <w:color w:val="000000"/>
                <w:sz w:val="20"/>
                <w:szCs w:val="20"/>
              </w:rPr>
            </w:pPr>
            <w:r>
              <w:rPr>
                <w:color w:val="000000"/>
                <w:sz w:val="20"/>
                <w:szCs w:val="20"/>
              </w:rPr>
              <w:t>25dBc</w:t>
            </w:r>
          </w:p>
        </w:tc>
      </w:tr>
      <w:tr w:rsidR="00FF4C8E" w14:paraId="4F078013" w14:textId="77777777">
        <w:trPr>
          <w:trHeight w:val="136"/>
          <w:jc w:val="center"/>
        </w:trPr>
        <w:tc>
          <w:tcPr>
            <w:tcW w:w="2586" w:type="dxa"/>
            <w:shd w:val="clear" w:color="auto" w:fill="auto"/>
          </w:tcPr>
          <w:p w14:paraId="3EA068BF" w14:textId="77777777" w:rsidR="00FF4C8E" w:rsidRDefault="00000000">
            <w:pPr>
              <w:keepNext/>
              <w:keepLines/>
              <w:pBdr>
                <w:top w:val="nil"/>
                <w:left w:val="nil"/>
                <w:bottom w:val="nil"/>
                <w:right w:val="nil"/>
                <w:between w:val="nil"/>
              </w:pBdr>
              <w:spacing w:after="0"/>
              <w:jc w:val="center"/>
              <w:rPr>
                <w:color w:val="000000"/>
                <w:sz w:val="20"/>
                <w:szCs w:val="20"/>
              </w:rPr>
            </w:pPr>
            <w:r>
              <w:rPr>
                <w:color w:val="000000"/>
                <w:sz w:val="20"/>
                <w:szCs w:val="20"/>
              </w:rPr>
              <w:t>CIM3</w:t>
            </w:r>
          </w:p>
        </w:tc>
        <w:tc>
          <w:tcPr>
            <w:tcW w:w="6345" w:type="dxa"/>
            <w:shd w:val="clear" w:color="auto" w:fill="auto"/>
          </w:tcPr>
          <w:p w14:paraId="2ADF2E7F" w14:textId="77777777" w:rsidR="00FF4C8E" w:rsidRDefault="00000000">
            <w:pPr>
              <w:keepNext/>
              <w:keepLines/>
              <w:pBdr>
                <w:top w:val="nil"/>
                <w:left w:val="nil"/>
                <w:bottom w:val="nil"/>
                <w:right w:val="nil"/>
                <w:between w:val="nil"/>
              </w:pBdr>
              <w:spacing w:after="0"/>
              <w:jc w:val="left"/>
              <w:rPr>
                <w:color w:val="000000"/>
                <w:sz w:val="20"/>
                <w:szCs w:val="20"/>
              </w:rPr>
            </w:pPr>
            <w:r>
              <w:rPr>
                <w:color w:val="000000"/>
                <w:sz w:val="20"/>
                <w:szCs w:val="20"/>
              </w:rPr>
              <w:t>60dBc</w:t>
            </w:r>
          </w:p>
        </w:tc>
      </w:tr>
      <w:tr w:rsidR="00FF4C8E" w14:paraId="5D8658D4" w14:textId="77777777">
        <w:trPr>
          <w:trHeight w:val="256"/>
          <w:jc w:val="center"/>
        </w:trPr>
        <w:tc>
          <w:tcPr>
            <w:tcW w:w="2586" w:type="dxa"/>
            <w:shd w:val="clear" w:color="auto" w:fill="auto"/>
          </w:tcPr>
          <w:p w14:paraId="6DC92CBF" w14:textId="77777777" w:rsidR="00FF4C8E" w:rsidRDefault="00000000">
            <w:pPr>
              <w:keepNext/>
              <w:keepLines/>
              <w:pBdr>
                <w:top w:val="nil"/>
                <w:left w:val="nil"/>
                <w:bottom w:val="nil"/>
                <w:right w:val="nil"/>
                <w:between w:val="nil"/>
              </w:pBdr>
              <w:spacing w:after="0"/>
              <w:jc w:val="center"/>
              <w:rPr>
                <w:color w:val="000000"/>
                <w:sz w:val="20"/>
                <w:szCs w:val="20"/>
              </w:rPr>
            </w:pPr>
            <w:r>
              <w:rPr>
                <w:color w:val="000000"/>
                <w:sz w:val="20"/>
                <w:szCs w:val="20"/>
              </w:rPr>
              <w:t>PA calibration</w:t>
            </w:r>
          </w:p>
        </w:tc>
        <w:tc>
          <w:tcPr>
            <w:tcW w:w="6345" w:type="dxa"/>
            <w:shd w:val="clear" w:color="auto" w:fill="auto"/>
          </w:tcPr>
          <w:p w14:paraId="59C67F0A" w14:textId="77777777" w:rsidR="00FF4C8E" w:rsidRDefault="00000000">
            <w:pPr>
              <w:keepNext/>
              <w:keepLines/>
              <w:pBdr>
                <w:top w:val="nil"/>
                <w:left w:val="nil"/>
                <w:bottom w:val="nil"/>
                <w:right w:val="nil"/>
                <w:between w:val="nil"/>
              </w:pBdr>
              <w:spacing w:after="0"/>
              <w:jc w:val="left"/>
              <w:rPr>
                <w:color w:val="000000"/>
                <w:sz w:val="20"/>
                <w:szCs w:val="20"/>
              </w:rPr>
            </w:pPr>
            <w:r>
              <w:rPr>
                <w:color w:val="000000"/>
                <w:sz w:val="20"/>
                <w:szCs w:val="20"/>
              </w:rPr>
              <w:t>PA calibrated to deliver 30dBc ACLR for a fully allocated RBs in 20MHz QPSK DFT- S-OFDM waveform at 1 dB MPR.</w:t>
            </w:r>
          </w:p>
          <w:p w14:paraId="2F0492F4" w14:textId="77777777" w:rsidR="00FF4C8E" w:rsidRDefault="00000000">
            <w:pPr>
              <w:keepNext/>
              <w:keepLines/>
              <w:pBdr>
                <w:top w:val="nil"/>
                <w:left w:val="nil"/>
                <w:bottom w:val="nil"/>
                <w:right w:val="nil"/>
                <w:between w:val="nil"/>
              </w:pBdr>
              <w:spacing w:after="0"/>
              <w:jc w:val="left"/>
              <w:rPr>
                <w:b/>
                <w:color w:val="000000"/>
                <w:sz w:val="20"/>
                <w:szCs w:val="20"/>
              </w:rPr>
            </w:pPr>
            <w:r>
              <w:rPr>
                <w:color w:val="000000"/>
                <w:sz w:val="20"/>
                <w:szCs w:val="20"/>
              </w:rPr>
              <w:t>This is based to share PA between LTE V2X and NR V2X at 5.9GHz as worst case.</w:t>
            </w:r>
          </w:p>
        </w:tc>
      </w:tr>
    </w:tbl>
    <w:p w14:paraId="060AB415" w14:textId="77777777" w:rsidR="00FF4C8E" w:rsidRDefault="00FF4C8E">
      <w:pPr>
        <w:pBdr>
          <w:top w:val="nil"/>
          <w:left w:val="nil"/>
          <w:bottom w:val="nil"/>
          <w:right w:val="nil"/>
          <w:between w:val="nil"/>
        </w:pBdr>
        <w:ind w:left="720"/>
        <w:rPr>
          <w:color w:val="000000"/>
        </w:rPr>
      </w:pPr>
    </w:p>
    <w:p w14:paraId="63AB2ECB" w14:textId="77777777" w:rsidR="00FF4C8E" w:rsidRDefault="00000000">
      <w:pPr>
        <w:pBdr>
          <w:top w:val="nil"/>
          <w:left w:val="nil"/>
          <w:bottom w:val="nil"/>
          <w:right w:val="nil"/>
          <w:between w:val="nil"/>
        </w:pBdr>
        <w:rPr>
          <w:color w:val="000000"/>
        </w:rPr>
      </w:pPr>
      <w:r>
        <w:rPr>
          <w:color w:val="000000"/>
        </w:rPr>
        <w:lastRenderedPageBreak/>
        <w:t>For the A-MPR requirements of intra-band contiguous SL CA with PC2, the following additional spectrum emission mask in Table 6.5E.2.3.1-1 in TS38.101-1 and additional spurious emission requirements in Table 6.5E.3.4.2-1 and Table 6.5E.3.4.2-2  in TS38.101-1 will be considered to comply European regulation requirements in Rel-19.</w:t>
      </w:r>
    </w:p>
    <w:p w14:paraId="392EFF2F" w14:textId="77777777" w:rsidR="00FF4C8E" w:rsidRDefault="00000000">
      <w:pPr>
        <w:pBdr>
          <w:top w:val="nil"/>
          <w:left w:val="nil"/>
          <w:bottom w:val="nil"/>
          <w:right w:val="nil"/>
          <w:between w:val="nil"/>
        </w:pBdr>
        <w:ind w:left="720"/>
        <w:rPr>
          <w:color w:val="000000"/>
        </w:rPr>
      </w:pPr>
      <w:r>
        <w:rPr>
          <w:color w:val="000000"/>
        </w:rPr>
        <w:t xml:space="preserve"> </w:t>
      </w:r>
    </w:p>
    <w:p w14:paraId="5B0074F4" w14:textId="77777777" w:rsidR="00FF4C8E" w:rsidRDefault="00000000">
      <w:pPr>
        <w:pBdr>
          <w:top w:val="nil"/>
          <w:left w:val="nil"/>
          <w:bottom w:val="nil"/>
          <w:right w:val="nil"/>
          <w:between w:val="nil"/>
        </w:pBdr>
        <w:rPr>
          <w:color w:val="000000"/>
        </w:rPr>
      </w:pPr>
      <w:r>
        <w:rPr>
          <w:color w:val="000000"/>
        </w:rPr>
        <w:t>Based on above initial analysis, we propose as follow:</w:t>
      </w:r>
    </w:p>
    <w:p w14:paraId="3B93AE66" w14:textId="77777777" w:rsidR="00FF4C8E" w:rsidRDefault="00000000">
      <w:pPr>
        <w:rPr>
          <w:b/>
        </w:rPr>
      </w:pPr>
      <w:r>
        <w:rPr>
          <w:b/>
        </w:rPr>
        <w:t xml:space="preserve">Proposal 2: </w:t>
      </w:r>
      <w:r w:rsidRPr="0036371D">
        <w:rPr>
          <w:b/>
          <w:i/>
          <w:iCs/>
        </w:rPr>
        <w:t>The above MPR simulation assumptions in Table 1 will be considered to derive MPR requirements for intra-band contiguous SL CA with power class 2 in ITS spectrum</w:t>
      </w:r>
      <w:r>
        <w:rPr>
          <w:b/>
        </w:rPr>
        <w:t xml:space="preserve">.  </w:t>
      </w:r>
    </w:p>
    <w:p w14:paraId="2B965F44" w14:textId="77777777" w:rsidR="00FF4C8E" w:rsidRDefault="00000000">
      <w:pPr>
        <w:rPr>
          <w:b/>
        </w:rPr>
      </w:pPr>
      <w:r>
        <w:rPr>
          <w:b/>
        </w:rPr>
        <w:t xml:space="preserve">Proposal 3: </w:t>
      </w:r>
      <w:r w:rsidRPr="0036371D">
        <w:rPr>
          <w:b/>
          <w:i/>
          <w:iCs/>
        </w:rPr>
        <w:t>The above A-MPR simulation assumptions in Table 1 and additional spectrum emission mask in Table 6.5E.2.3.1-1 in TS38.101-1 and additional spurious emission requirements in Table 6.5E.3.4.2-1 and Table 6.5E.3.4.2-2 in TS38.101-1 will be considered to derive A-MPR requirements to comply European regulation for intra-band contiguous SL CA with power class 2 in ITS spectrum</w:t>
      </w:r>
      <w:r>
        <w:rPr>
          <w:b/>
        </w:rPr>
        <w:t xml:space="preserve">.  </w:t>
      </w:r>
    </w:p>
    <w:p w14:paraId="42D16FDF" w14:textId="77777777" w:rsidR="00FF4C8E" w:rsidRDefault="00FF4C8E">
      <w:pPr>
        <w:pBdr>
          <w:top w:val="nil"/>
          <w:left w:val="nil"/>
          <w:bottom w:val="nil"/>
          <w:right w:val="nil"/>
          <w:between w:val="nil"/>
        </w:pBdr>
        <w:ind w:left="720"/>
        <w:rPr>
          <w:color w:val="000000"/>
        </w:rPr>
      </w:pPr>
    </w:p>
    <w:p w14:paraId="77BD9261" w14:textId="77777777" w:rsidR="00FF4C8E" w:rsidRDefault="00000000">
      <w:pPr>
        <w:numPr>
          <w:ilvl w:val="0"/>
          <w:numId w:val="3"/>
        </w:numPr>
        <w:pBdr>
          <w:top w:val="nil"/>
          <w:left w:val="nil"/>
          <w:bottom w:val="nil"/>
          <w:right w:val="nil"/>
          <w:between w:val="nil"/>
        </w:pBdr>
        <w:spacing w:after="60"/>
        <w:ind w:left="714" w:hanging="357"/>
        <w:rPr>
          <w:b/>
          <w:color w:val="000000"/>
        </w:rPr>
      </w:pPr>
      <w:r>
        <w:rPr>
          <w:b/>
          <w:color w:val="000000"/>
        </w:rPr>
        <w:t>Intra-band non-contiguous SL CA for power class 2 and power class 3</w:t>
      </w:r>
    </w:p>
    <w:p w14:paraId="3EA5814F" w14:textId="77777777" w:rsidR="00FF4C8E" w:rsidRDefault="00000000">
      <w:pPr>
        <w:pBdr>
          <w:top w:val="nil"/>
          <w:left w:val="nil"/>
          <w:bottom w:val="nil"/>
          <w:right w:val="nil"/>
          <w:between w:val="nil"/>
        </w:pBdr>
        <w:ind w:left="160"/>
        <w:rPr>
          <w:color w:val="000000"/>
        </w:rPr>
      </w:pPr>
      <w:r>
        <w:rPr>
          <w:color w:val="000000"/>
        </w:rPr>
        <w:t>Most MPR/A-MPR simulation assumptions will be reused for intra-band non-contiguous SL CA in ITS spectrum.</w:t>
      </w:r>
    </w:p>
    <w:p w14:paraId="6E5E8718" w14:textId="77777777" w:rsidR="00FF4C8E" w:rsidRDefault="00000000">
      <w:pPr>
        <w:pBdr>
          <w:top w:val="nil"/>
          <w:left w:val="nil"/>
          <w:bottom w:val="nil"/>
          <w:right w:val="nil"/>
          <w:between w:val="nil"/>
        </w:pBdr>
        <w:ind w:left="160"/>
        <w:rPr>
          <w:color w:val="000000"/>
        </w:rPr>
      </w:pPr>
      <w:r>
        <w:rPr>
          <w:color w:val="000000"/>
        </w:rPr>
        <w:t xml:space="preserve">One important point is how much frequency gap between each CC is assumed to derive the MPR/A-MPR requirements </w:t>
      </w:r>
      <w:r>
        <w:t>in the ITS</w:t>
      </w:r>
      <w:r>
        <w:rPr>
          <w:color w:val="000000"/>
        </w:rPr>
        <w:t xml:space="preserve"> spectrum.</w:t>
      </w:r>
    </w:p>
    <w:p w14:paraId="3B7183ED" w14:textId="77777777" w:rsidR="00FF4C8E" w:rsidRDefault="00000000">
      <w:pPr>
        <w:pBdr>
          <w:top w:val="nil"/>
          <w:left w:val="nil"/>
          <w:bottom w:val="nil"/>
          <w:right w:val="nil"/>
          <w:between w:val="nil"/>
        </w:pBdr>
        <w:ind w:left="160"/>
        <w:rPr>
          <w:color w:val="000000"/>
        </w:rPr>
      </w:pPr>
      <w:r>
        <w:rPr>
          <w:color w:val="000000"/>
        </w:rPr>
        <w:t>In US, the total 30MHz CBWs are available for C-V2X operation from 5895 to 5925MHz as follows:</w:t>
      </w:r>
    </w:p>
    <w:p w14:paraId="0CDEFDA2" w14:textId="77777777" w:rsidR="00FF4C8E" w:rsidRDefault="00000000">
      <w:pPr>
        <w:widowControl/>
        <w:spacing w:after="0"/>
        <w:jc w:val="center"/>
        <w:rPr>
          <w:sz w:val="20"/>
          <w:szCs w:val="20"/>
        </w:rPr>
      </w:pPr>
      <w:r>
        <w:rPr>
          <w:noProof/>
        </w:rPr>
        <w:drawing>
          <wp:inline distT="0" distB="0" distL="0" distR="0" wp14:anchorId="0247D073" wp14:editId="18147045">
            <wp:extent cx="4171950" cy="971550"/>
            <wp:effectExtent l="0" t="0" r="0" b="0"/>
            <wp:docPr id="1881643440" name="image3.png" descr="Tabl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Table&#10;&#10;Description automatically generated"/>
                    <pic:cNvPicPr preferRelativeResize="0"/>
                  </pic:nvPicPr>
                  <pic:blipFill>
                    <a:blip r:embed="rId8"/>
                    <a:srcRect/>
                    <a:stretch>
                      <a:fillRect/>
                    </a:stretch>
                  </pic:blipFill>
                  <pic:spPr>
                    <a:xfrm>
                      <a:off x="0" y="0"/>
                      <a:ext cx="4171950" cy="971550"/>
                    </a:xfrm>
                    <a:prstGeom prst="rect">
                      <a:avLst/>
                    </a:prstGeom>
                    <a:ln/>
                  </pic:spPr>
                </pic:pic>
              </a:graphicData>
            </a:graphic>
          </wp:inline>
        </w:drawing>
      </w:r>
    </w:p>
    <w:p w14:paraId="61B4DDDB" w14:textId="77777777" w:rsidR="00FF4C8E" w:rsidRDefault="00000000">
      <w:pPr>
        <w:widowControl/>
        <w:spacing w:after="0"/>
        <w:jc w:val="center"/>
        <w:rPr>
          <w:b/>
          <w:sz w:val="20"/>
          <w:szCs w:val="20"/>
        </w:rPr>
      </w:pPr>
      <w:r>
        <w:rPr>
          <w:b/>
          <w:sz w:val="20"/>
          <w:szCs w:val="20"/>
        </w:rPr>
        <w:t>Figure 1. ITS spectrum allocation after the decision by US Court of Appeals [4][5]</w:t>
      </w:r>
    </w:p>
    <w:p w14:paraId="72B008A0" w14:textId="77777777" w:rsidR="00FF4C8E" w:rsidRDefault="00FF4C8E">
      <w:pPr>
        <w:pBdr>
          <w:top w:val="nil"/>
          <w:left w:val="nil"/>
          <w:bottom w:val="nil"/>
          <w:right w:val="nil"/>
          <w:between w:val="nil"/>
        </w:pBdr>
        <w:ind w:left="880"/>
        <w:rPr>
          <w:color w:val="000000"/>
        </w:rPr>
      </w:pPr>
    </w:p>
    <w:p w14:paraId="6647DBCE" w14:textId="77777777" w:rsidR="00FF4C8E" w:rsidRDefault="00000000">
      <w:pPr>
        <w:pBdr>
          <w:top w:val="nil"/>
          <w:left w:val="nil"/>
          <w:bottom w:val="nil"/>
          <w:right w:val="nil"/>
          <w:between w:val="nil"/>
        </w:pBdr>
        <w:ind w:left="160"/>
        <w:rPr>
          <w:color w:val="000000"/>
        </w:rPr>
      </w:pPr>
      <w:r>
        <w:rPr>
          <w:color w:val="000000"/>
        </w:rPr>
        <w:t>In Europe, the candidate spectrum will be considered for both DSRC system and C-V2X system as follows:</w:t>
      </w:r>
    </w:p>
    <w:p w14:paraId="6DC86D70" w14:textId="77777777" w:rsidR="00FF4C8E" w:rsidRDefault="00000000">
      <w:pPr>
        <w:pBdr>
          <w:top w:val="nil"/>
          <w:left w:val="nil"/>
          <w:bottom w:val="nil"/>
          <w:right w:val="nil"/>
          <w:between w:val="nil"/>
        </w:pBdr>
        <w:ind w:left="160"/>
        <w:rPr>
          <w:color w:val="000000"/>
        </w:rPr>
      </w:pPr>
      <w:r>
        <w:rPr>
          <w:color w:val="000000"/>
        </w:rPr>
        <w:t xml:space="preserve">Based on the spectrum designation plan, the Road C-V2X UE </w:t>
      </w:r>
      <w:r>
        <w:t>can be configured</w:t>
      </w:r>
      <w:r>
        <w:rPr>
          <w:color w:val="000000"/>
        </w:rPr>
        <w:t xml:space="preserve"> from 5875 MHz to 5915MHz. </w:t>
      </w:r>
      <w:r>
        <w:t>The</w:t>
      </w:r>
      <w:r>
        <w:rPr>
          <w:color w:val="000000"/>
        </w:rPr>
        <w:t xml:space="preserve"> total allowed channel bandwidth for road ITS service is 40MHz in n47.</w:t>
      </w:r>
    </w:p>
    <w:p w14:paraId="3D1B4857" w14:textId="77777777" w:rsidR="00FF4C8E" w:rsidRDefault="00000000">
      <w:pPr>
        <w:pBdr>
          <w:top w:val="nil"/>
          <w:left w:val="nil"/>
          <w:bottom w:val="nil"/>
          <w:right w:val="nil"/>
          <w:between w:val="nil"/>
        </w:pBdr>
        <w:ind w:left="880"/>
        <w:rPr>
          <w:color w:val="000000"/>
        </w:rPr>
      </w:pPr>
      <w:r>
        <w:rPr>
          <w:noProof/>
          <w:color w:val="000000"/>
        </w:rPr>
        <w:drawing>
          <wp:inline distT="0" distB="0" distL="0" distR="0" wp14:anchorId="6323CC27" wp14:editId="6F5BD0C7">
            <wp:extent cx="5064642" cy="1552348"/>
            <wp:effectExtent l="0" t="0" r="0" b="0"/>
            <wp:docPr id="188164344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5064642" cy="1552348"/>
                    </a:xfrm>
                    <a:prstGeom prst="rect">
                      <a:avLst/>
                    </a:prstGeom>
                    <a:ln/>
                  </pic:spPr>
                </pic:pic>
              </a:graphicData>
            </a:graphic>
          </wp:inline>
        </w:drawing>
      </w:r>
    </w:p>
    <w:p w14:paraId="5AB305C0" w14:textId="77777777" w:rsidR="00FF4C8E" w:rsidRDefault="00000000">
      <w:pPr>
        <w:widowControl/>
        <w:spacing w:after="0"/>
        <w:jc w:val="center"/>
        <w:rPr>
          <w:b/>
          <w:sz w:val="20"/>
          <w:szCs w:val="20"/>
        </w:rPr>
      </w:pPr>
      <w:r>
        <w:rPr>
          <w:b/>
          <w:sz w:val="20"/>
          <w:szCs w:val="20"/>
        </w:rPr>
        <w:t>Figure 2. Spectrum designations at 5.9Ghz in Europe [6]</w:t>
      </w:r>
    </w:p>
    <w:p w14:paraId="20F06FEB" w14:textId="77777777" w:rsidR="00FF4C8E" w:rsidRDefault="00FF4C8E">
      <w:pPr>
        <w:pBdr>
          <w:top w:val="nil"/>
          <w:left w:val="nil"/>
          <w:bottom w:val="nil"/>
          <w:right w:val="nil"/>
          <w:between w:val="nil"/>
        </w:pBdr>
        <w:ind w:left="880"/>
        <w:rPr>
          <w:color w:val="000000"/>
        </w:rPr>
      </w:pPr>
    </w:p>
    <w:p w14:paraId="430243B1" w14:textId="77777777" w:rsidR="00FF4C8E" w:rsidRDefault="00000000">
      <w:pPr>
        <w:pBdr>
          <w:top w:val="nil"/>
          <w:left w:val="nil"/>
          <w:bottom w:val="nil"/>
          <w:right w:val="nil"/>
          <w:between w:val="nil"/>
        </w:pBdr>
        <w:ind w:left="160"/>
        <w:rPr>
          <w:color w:val="000000"/>
        </w:rPr>
      </w:pPr>
      <w:r>
        <w:rPr>
          <w:color w:val="000000"/>
        </w:rPr>
        <w:t xml:space="preserve">Also, the Ministry of Science and ICT and the Ministry of Land in Korea </w:t>
      </w:r>
      <w:r>
        <w:t>has announced</w:t>
      </w:r>
      <w:r>
        <w:rPr>
          <w:color w:val="000000"/>
        </w:rPr>
        <w:t xml:space="preserve"> that cellular-V2X communication technologies will be used for next generation vehicle communication </w:t>
      </w:r>
      <w:r>
        <w:t>systems</w:t>
      </w:r>
      <w:r>
        <w:rPr>
          <w:color w:val="000000"/>
        </w:rPr>
        <w:t xml:space="preserve"> </w:t>
      </w:r>
      <w:r>
        <w:t>for the whole</w:t>
      </w:r>
      <w:r>
        <w:rPr>
          <w:color w:val="000000"/>
        </w:rPr>
        <w:t xml:space="preserve"> 70MHz in n47 [7]. Therefore, the maximum frequency gap (W</w:t>
      </w:r>
      <w:r>
        <w:rPr>
          <w:color w:val="000000"/>
          <w:vertAlign w:val="subscript"/>
        </w:rPr>
        <w:t>Gap</w:t>
      </w:r>
      <w:r>
        <w:rPr>
          <w:color w:val="000000"/>
        </w:rPr>
        <w:t>) is 50MHz as worst case to derive MPR/A-MPR requirements for intra-band non-contiguous SL CA operation as follows:</w:t>
      </w:r>
    </w:p>
    <w:p w14:paraId="48EBB56B" w14:textId="77777777" w:rsidR="00FF4C8E" w:rsidRDefault="00000000">
      <w:pPr>
        <w:pBdr>
          <w:top w:val="nil"/>
          <w:left w:val="nil"/>
          <w:bottom w:val="nil"/>
          <w:right w:val="nil"/>
          <w:between w:val="nil"/>
        </w:pBdr>
        <w:ind w:left="880"/>
        <w:jc w:val="center"/>
        <w:rPr>
          <w:color w:val="000000"/>
        </w:rPr>
      </w:pPr>
      <w:r>
        <w:rPr>
          <w:noProof/>
          <w:color w:val="000000"/>
        </w:rPr>
        <w:lastRenderedPageBreak/>
        <w:drawing>
          <wp:inline distT="0" distB="0" distL="0" distR="0" wp14:anchorId="30654F9D" wp14:editId="39AC1479">
            <wp:extent cx="2693217" cy="2306851"/>
            <wp:effectExtent l="0" t="0" r="0" b="0"/>
            <wp:docPr id="188164344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2693217" cy="2306851"/>
                    </a:xfrm>
                    <a:prstGeom prst="rect">
                      <a:avLst/>
                    </a:prstGeom>
                    <a:ln/>
                  </pic:spPr>
                </pic:pic>
              </a:graphicData>
            </a:graphic>
          </wp:inline>
        </w:drawing>
      </w:r>
    </w:p>
    <w:p w14:paraId="159B94BA" w14:textId="77777777" w:rsidR="00FF4C8E" w:rsidRDefault="00000000">
      <w:pPr>
        <w:widowControl/>
        <w:spacing w:after="0"/>
        <w:jc w:val="center"/>
        <w:rPr>
          <w:b/>
          <w:sz w:val="20"/>
          <w:szCs w:val="20"/>
        </w:rPr>
      </w:pPr>
      <w:r>
        <w:rPr>
          <w:b/>
          <w:sz w:val="20"/>
          <w:szCs w:val="20"/>
        </w:rPr>
        <w:t>Figure 3. Candidate frequency gap as worst cases for MPR/A-MPR simulation in ITS spectrum</w:t>
      </w:r>
    </w:p>
    <w:p w14:paraId="0CA568A8" w14:textId="77777777" w:rsidR="00FF4C8E" w:rsidRDefault="00FF4C8E"/>
    <w:p w14:paraId="40ACBAA4" w14:textId="77777777" w:rsidR="00FF4C8E" w:rsidRDefault="00000000">
      <w:pPr>
        <w:rPr>
          <w:b/>
        </w:rPr>
      </w:pPr>
      <w:r>
        <w:rPr>
          <w:b/>
        </w:rPr>
        <w:t xml:space="preserve">Observation 2: The maximum frequency gap between each CC is about 50MHz in South Korea. </w:t>
      </w:r>
    </w:p>
    <w:p w14:paraId="3D80F59A" w14:textId="77777777" w:rsidR="00FF4C8E" w:rsidRDefault="00FF4C8E">
      <w:pPr>
        <w:spacing w:after="0"/>
      </w:pPr>
    </w:p>
    <w:p w14:paraId="175AEE7D" w14:textId="77777777" w:rsidR="00FF4C8E" w:rsidRDefault="00000000">
      <w:r>
        <w:t>Based on above observation, we propose as follows:</w:t>
      </w:r>
    </w:p>
    <w:p w14:paraId="167BE736" w14:textId="77777777" w:rsidR="00FF4C8E" w:rsidRDefault="00000000">
      <w:pPr>
        <w:rPr>
          <w:b/>
        </w:rPr>
      </w:pPr>
      <w:r>
        <w:rPr>
          <w:b/>
        </w:rPr>
        <w:t xml:space="preserve">Proposal 4: </w:t>
      </w:r>
      <w:r w:rsidRPr="0036371D">
        <w:rPr>
          <w:b/>
          <w:i/>
          <w:iCs/>
        </w:rPr>
        <w:t>On top of above MPR simulation assumptions in Table 1, RAN4 should consider the frequency gap between CC1 and CC2 to derive MPR requirements for intra-band non-contiguous SL CA in ITS spectrum</w:t>
      </w:r>
      <w:r>
        <w:rPr>
          <w:b/>
        </w:rPr>
        <w:t xml:space="preserve">.  </w:t>
      </w:r>
    </w:p>
    <w:p w14:paraId="2A61C621" w14:textId="77777777" w:rsidR="00FF4C8E" w:rsidRDefault="00000000">
      <w:pPr>
        <w:rPr>
          <w:b/>
        </w:rPr>
      </w:pPr>
      <w:r>
        <w:rPr>
          <w:b/>
        </w:rPr>
        <w:t xml:space="preserve">Proposal 5: </w:t>
      </w:r>
      <w:r w:rsidRPr="0036371D">
        <w:rPr>
          <w:b/>
          <w:i/>
          <w:iCs/>
        </w:rPr>
        <w:t>On top of above MPR simulation assumptions in Table 1 and additional spectrum emission mask in Table 6.5E.2.3.1-1 in TS38.101-1 and additional spurious emission requirements in Table 6.5E.3.4.2-1 and Table 6.5E.3.4.2-2 in TS38.101-1, RAN4 should consider the frequency gap between CC1 and CC2 to derive A-MPR requirements to comply European regulation for intra-band non-contiguous SL CA for both power class 3 and power class 2 in ITS spectrum</w:t>
      </w:r>
      <w:r>
        <w:rPr>
          <w:b/>
        </w:rPr>
        <w:t xml:space="preserve">.  </w:t>
      </w:r>
    </w:p>
    <w:p w14:paraId="03FAACB8" w14:textId="77777777" w:rsidR="00FF4C8E" w:rsidRDefault="00FF4C8E"/>
    <w:p w14:paraId="42C0C252" w14:textId="77777777" w:rsidR="00FF4C8E" w:rsidRDefault="00000000">
      <w:pPr>
        <w:ind w:firstLine="720"/>
      </w:pPr>
      <w:r>
        <w:t>For the example RF architecture of intra-band non-contiguous SL CA in Rel-19, RAN4 can consider both single RF chain (with single PA, single antenna) and dual RF chains (with separate PA and separate antenna per CC) in ITS spectrum.</w:t>
      </w:r>
    </w:p>
    <w:p w14:paraId="77EB9575" w14:textId="77777777" w:rsidR="00FF4C8E" w:rsidRDefault="00000000">
      <w:pPr>
        <w:rPr>
          <w:b/>
        </w:rPr>
      </w:pPr>
      <w:r>
        <w:rPr>
          <w:b/>
        </w:rPr>
        <w:t xml:space="preserve">Proposal 6: </w:t>
      </w:r>
      <w:r w:rsidRPr="0036371D">
        <w:rPr>
          <w:b/>
          <w:i/>
          <w:iCs/>
        </w:rPr>
        <w:t>Both single PA with single antenna and/or dual PA with dual Antenna architecture can be considered for intra-band non-contiguous SL CA in ITS spectrum</w:t>
      </w:r>
      <w:r>
        <w:rPr>
          <w:b/>
        </w:rPr>
        <w:t xml:space="preserve">.  </w:t>
      </w:r>
    </w:p>
    <w:p w14:paraId="23D1A942" w14:textId="77777777" w:rsidR="00FF4C8E" w:rsidRDefault="00000000">
      <w:r>
        <w:t xml:space="preserve">   </w:t>
      </w:r>
    </w:p>
    <w:p w14:paraId="3D571747" w14:textId="77777777" w:rsidR="00FF4C8E" w:rsidRDefault="00000000">
      <w:pPr>
        <w:pStyle w:val="1"/>
        <w:numPr>
          <w:ilvl w:val="0"/>
          <w:numId w:val="5"/>
        </w:numPr>
        <w:spacing w:before="240"/>
        <w:ind w:left="270" w:hanging="270"/>
      </w:pPr>
      <w:r>
        <w:t>Conclusions</w:t>
      </w:r>
    </w:p>
    <w:p w14:paraId="5124D183" w14:textId="77777777" w:rsidR="00FF4C8E" w:rsidRDefault="00000000">
      <w:r>
        <w:t xml:space="preserve">In this contribution, we propose how to treat the leftover topic in Rel-18 and also we propose the detailed MPR/A-MPR simulation assumptions with example RF architectures. Based on our initial analysis for the intra-band SL-CA objectives in Rel-19, we proposed as follows: </w:t>
      </w:r>
    </w:p>
    <w:p w14:paraId="0C867CD0" w14:textId="77777777" w:rsidR="00FF4C8E" w:rsidRDefault="00FF4C8E">
      <w:pPr>
        <w:rPr>
          <w:b/>
        </w:rPr>
      </w:pPr>
    </w:p>
    <w:p w14:paraId="1E6EF275" w14:textId="77777777" w:rsidR="00FF4C8E" w:rsidRDefault="00000000">
      <w:pPr>
        <w:rPr>
          <w:b/>
        </w:rPr>
      </w:pPr>
      <w:r>
        <w:rPr>
          <w:b/>
        </w:rPr>
        <w:t xml:space="preserve">Proposal 1: </w:t>
      </w:r>
      <w:r w:rsidRPr="0036371D">
        <w:rPr>
          <w:b/>
          <w:i/>
          <w:iCs/>
        </w:rPr>
        <w:t>Some leftover issues can be treated in the Rel-18 maintenance session to complete the remaining issues of SL-U operation</w:t>
      </w:r>
      <w:r>
        <w:rPr>
          <w:b/>
        </w:rPr>
        <w:t xml:space="preserve">.  </w:t>
      </w:r>
    </w:p>
    <w:p w14:paraId="21584381" w14:textId="77777777" w:rsidR="00FF4C8E" w:rsidRDefault="00000000">
      <w:pPr>
        <w:rPr>
          <w:b/>
        </w:rPr>
      </w:pPr>
      <w:r>
        <w:rPr>
          <w:b/>
        </w:rPr>
        <w:t xml:space="preserve">Proposal 2: </w:t>
      </w:r>
      <w:r w:rsidRPr="0036371D">
        <w:rPr>
          <w:b/>
          <w:i/>
          <w:iCs/>
        </w:rPr>
        <w:t>The above MPR simulation assumptions in Table 1 will be considered to derive MPR requirements for intra-band contiguous SL CA with power class 2 in ITS spectrum</w:t>
      </w:r>
      <w:r>
        <w:rPr>
          <w:b/>
        </w:rPr>
        <w:t xml:space="preserve">.  </w:t>
      </w:r>
    </w:p>
    <w:p w14:paraId="52226CE6" w14:textId="77777777" w:rsidR="00FF4C8E" w:rsidRDefault="00000000">
      <w:pPr>
        <w:rPr>
          <w:b/>
        </w:rPr>
      </w:pPr>
      <w:r>
        <w:rPr>
          <w:b/>
        </w:rPr>
        <w:t xml:space="preserve">Proposal 3: </w:t>
      </w:r>
      <w:r w:rsidRPr="0036371D">
        <w:rPr>
          <w:b/>
          <w:i/>
          <w:iCs/>
        </w:rPr>
        <w:t>The above A-MPR simulation assumptions in Table 1 and additional spectrum emission mask in Table 6.5E.2.3.1-1 in TS38.101-1 and additional spurious emission requirements in Table 6.5E.3.4.2-1 and Table 6.5E.3.4.2-2 in TS38.101-1 will be considered to derive A-MPR requirements to comply European regulation for intra-band contiguous SL CA with power class 2 in ITS spectrum</w:t>
      </w:r>
      <w:r>
        <w:rPr>
          <w:b/>
        </w:rPr>
        <w:t xml:space="preserve">.  </w:t>
      </w:r>
    </w:p>
    <w:p w14:paraId="0DB8A6DF" w14:textId="77777777" w:rsidR="00FF4C8E" w:rsidRDefault="00000000">
      <w:pPr>
        <w:rPr>
          <w:b/>
        </w:rPr>
      </w:pPr>
      <w:r>
        <w:rPr>
          <w:b/>
        </w:rPr>
        <w:lastRenderedPageBreak/>
        <w:t xml:space="preserve">Proposal 4: </w:t>
      </w:r>
      <w:r w:rsidRPr="0036371D">
        <w:rPr>
          <w:b/>
          <w:i/>
          <w:iCs/>
        </w:rPr>
        <w:t>On top of above MPR simulation assumptions in Table 1, RAN4 should consider the frequency gap between CC1 and CC2 to derive MPR requirements for intra-band non-contiguous SL CA in ITS spectrum</w:t>
      </w:r>
      <w:r>
        <w:rPr>
          <w:b/>
        </w:rPr>
        <w:t xml:space="preserve">.  </w:t>
      </w:r>
    </w:p>
    <w:p w14:paraId="7FE68164" w14:textId="77777777" w:rsidR="00FF4C8E" w:rsidRDefault="00000000">
      <w:pPr>
        <w:rPr>
          <w:b/>
        </w:rPr>
      </w:pPr>
      <w:r>
        <w:rPr>
          <w:b/>
        </w:rPr>
        <w:t xml:space="preserve">Proposal 5: </w:t>
      </w:r>
      <w:r w:rsidRPr="0036371D">
        <w:rPr>
          <w:b/>
          <w:i/>
          <w:iCs/>
        </w:rPr>
        <w:t>On top of above MPR simulation assumptions in Table 1 and additional spectrum emission mask in Table 6.5E.2.3.1-1 in TS38.101-1 and additional spurious emission requirements in Table 6.5E.3.4.2-1 and Table 6.5E.3.4.2-2 in TS38.101-1, RAN4 should consider the frequency gap between CC1 and CC2 to derive A-MPR requirements to comply European regulation for intra-band non-contiguous SL CA for both power class 3 and power class 2 in ITS spectrum</w:t>
      </w:r>
      <w:r>
        <w:rPr>
          <w:b/>
        </w:rPr>
        <w:t xml:space="preserve">.  </w:t>
      </w:r>
    </w:p>
    <w:p w14:paraId="48FEC500" w14:textId="77777777" w:rsidR="00FF4C8E" w:rsidRDefault="00000000">
      <w:pPr>
        <w:rPr>
          <w:b/>
        </w:rPr>
      </w:pPr>
      <w:r>
        <w:rPr>
          <w:b/>
        </w:rPr>
        <w:t xml:space="preserve">Proposal 6: </w:t>
      </w:r>
      <w:r w:rsidRPr="0036371D">
        <w:rPr>
          <w:b/>
          <w:i/>
          <w:iCs/>
        </w:rPr>
        <w:t>Both single PA with single antenna and/or dual PA with dual Antenna architecture can be considered for intra-band non-contiguous SL CA in ITS spectrum</w:t>
      </w:r>
      <w:r>
        <w:rPr>
          <w:b/>
        </w:rPr>
        <w:t xml:space="preserve">.  </w:t>
      </w:r>
    </w:p>
    <w:p w14:paraId="70D86B96" w14:textId="77777777" w:rsidR="00FF4C8E" w:rsidRDefault="00FF4C8E">
      <w:pPr>
        <w:rPr>
          <w:b/>
          <w:i/>
        </w:rPr>
      </w:pPr>
    </w:p>
    <w:p w14:paraId="39A44A7C" w14:textId="77777777" w:rsidR="00FF4C8E" w:rsidRDefault="00FF4C8E">
      <w:pPr>
        <w:rPr>
          <w:b/>
        </w:rPr>
      </w:pPr>
    </w:p>
    <w:p w14:paraId="6ECA4D96" w14:textId="77777777" w:rsidR="00FF4C8E" w:rsidRDefault="00000000">
      <w:pPr>
        <w:pStyle w:val="1"/>
        <w:spacing w:before="240"/>
      </w:pPr>
      <w:r>
        <w:t>Reference</w:t>
      </w:r>
    </w:p>
    <w:p w14:paraId="620F6BD3" w14:textId="77777777" w:rsidR="00FF4C8E" w:rsidRDefault="00000000">
      <w:pPr>
        <w:widowControl/>
        <w:rPr>
          <w:sz w:val="20"/>
          <w:szCs w:val="20"/>
        </w:rPr>
      </w:pPr>
      <w:r>
        <w:rPr>
          <w:sz w:val="20"/>
          <w:szCs w:val="20"/>
        </w:rPr>
        <w:t xml:space="preserve">[1] RP-240840, “New WID on NR Sidelink: Intra-band Carrier Aggregation in ITS band,” Apple </w:t>
      </w:r>
    </w:p>
    <w:p w14:paraId="04A87312" w14:textId="77777777" w:rsidR="00FF4C8E" w:rsidRDefault="00000000">
      <w:pPr>
        <w:widowControl/>
        <w:rPr>
          <w:sz w:val="20"/>
          <w:szCs w:val="20"/>
        </w:rPr>
      </w:pPr>
      <w:r>
        <w:rPr>
          <w:sz w:val="20"/>
          <w:szCs w:val="20"/>
        </w:rPr>
        <w:t>[2] TS38.101-1</w:t>
      </w:r>
    </w:p>
    <w:p w14:paraId="4D531EDA" w14:textId="77777777" w:rsidR="00FF4C8E" w:rsidRDefault="00000000">
      <w:pPr>
        <w:widowControl/>
        <w:rPr>
          <w:sz w:val="20"/>
          <w:szCs w:val="20"/>
        </w:rPr>
      </w:pPr>
      <w:r>
        <w:rPr>
          <w:sz w:val="20"/>
          <w:szCs w:val="20"/>
        </w:rPr>
        <w:t xml:space="preserve">[3] </w:t>
      </w:r>
      <w:r>
        <w:t>TR38.786</w:t>
      </w:r>
    </w:p>
    <w:p w14:paraId="08D37C92" w14:textId="77777777" w:rsidR="00FF4C8E" w:rsidRDefault="00000000">
      <w:pPr>
        <w:widowControl/>
        <w:rPr>
          <w:sz w:val="20"/>
          <w:szCs w:val="20"/>
        </w:rPr>
      </w:pPr>
      <w:r>
        <w:rPr>
          <w:sz w:val="20"/>
          <w:szCs w:val="20"/>
        </w:rPr>
        <w:t xml:space="preserve">[4] </w:t>
      </w:r>
      <w:hyperlink r:id="rId11">
        <w:r>
          <w:rPr>
            <w:color w:val="0000FF"/>
            <w:sz w:val="20"/>
            <w:szCs w:val="20"/>
            <w:u w:val="single"/>
          </w:rPr>
          <w:t>FCC-20-164A1</w:t>
        </w:r>
      </w:hyperlink>
      <w:r>
        <w:rPr>
          <w:sz w:val="20"/>
          <w:szCs w:val="20"/>
        </w:rPr>
        <w:t>, “First Report and Order, Further Notice of Proposed Rulemaking, and Order of Proposed Modification.,” FCC, Nov. 2020</w:t>
      </w:r>
    </w:p>
    <w:p w14:paraId="345EABAE" w14:textId="77777777" w:rsidR="00FF4C8E" w:rsidRDefault="00000000">
      <w:pPr>
        <w:widowControl/>
        <w:rPr>
          <w:sz w:val="20"/>
          <w:szCs w:val="20"/>
        </w:rPr>
      </w:pPr>
      <w:r>
        <w:rPr>
          <w:sz w:val="20"/>
          <w:szCs w:val="20"/>
        </w:rPr>
        <w:t xml:space="preserve">[5] </w:t>
      </w:r>
      <w:hyperlink r:id="rId12">
        <w:r>
          <w:rPr>
            <w:color w:val="0000FF"/>
            <w:sz w:val="20"/>
            <w:szCs w:val="20"/>
            <w:u w:val="single"/>
          </w:rPr>
          <w:t>No. 21-1130</w:t>
        </w:r>
      </w:hyperlink>
      <w:r>
        <w:rPr>
          <w:sz w:val="20"/>
          <w:szCs w:val="20"/>
        </w:rPr>
        <w:t>, Intelligent Transportation Soc, et al v. FCC, et al, US Court of Appeals</w:t>
      </w:r>
    </w:p>
    <w:p w14:paraId="2EED065B" w14:textId="77777777" w:rsidR="00FF4C8E" w:rsidRDefault="00000000">
      <w:pPr>
        <w:widowControl/>
        <w:rPr>
          <w:sz w:val="20"/>
          <w:szCs w:val="20"/>
        </w:rPr>
      </w:pPr>
      <w:r>
        <w:rPr>
          <w:sz w:val="20"/>
          <w:szCs w:val="20"/>
        </w:rPr>
        <w:t>[6] 5GAA White paper, “Development band configuration for C-V2X at 5.9GHz in Europe”</w:t>
      </w:r>
    </w:p>
    <w:p w14:paraId="5619AA39" w14:textId="77777777" w:rsidR="00FF4C8E" w:rsidRDefault="00000000">
      <w:pPr>
        <w:widowControl/>
        <w:rPr>
          <w:sz w:val="20"/>
          <w:szCs w:val="20"/>
        </w:rPr>
      </w:pPr>
      <w:r>
        <w:rPr>
          <w:sz w:val="20"/>
          <w:szCs w:val="20"/>
        </w:rPr>
        <w:t xml:space="preserve">[7] </w:t>
      </w:r>
      <w:hyperlink r:id="rId13">
        <w:r>
          <w:rPr>
            <w:color w:val="0000FF"/>
            <w:u w:val="single"/>
          </w:rPr>
          <w:t>The Republic of Korea Picks C-V2X as its Technology of Choice - 5GAA</w:t>
        </w:r>
      </w:hyperlink>
    </w:p>
    <w:p w14:paraId="31A42C64" w14:textId="77777777" w:rsidR="00FF4C8E" w:rsidRDefault="00FF4C8E">
      <w:pPr>
        <w:widowControl/>
        <w:rPr>
          <w:sz w:val="20"/>
          <w:szCs w:val="20"/>
        </w:rPr>
      </w:pPr>
    </w:p>
    <w:sectPr w:rsidR="00FF4C8E">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68B25" w14:textId="77777777" w:rsidR="00074C7D" w:rsidRDefault="00074C7D" w:rsidP="00C06D64">
      <w:pPr>
        <w:spacing w:after="0"/>
      </w:pPr>
      <w:r>
        <w:separator/>
      </w:r>
    </w:p>
  </w:endnote>
  <w:endnote w:type="continuationSeparator" w:id="0">
    <w:p w14:paraId="3BF84050" w14:textId="77777777" w:rsidR="00074C7D" w:rsidRDefault="00074C7D" w:rsidP="00C06D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BB904" w14:textId="77777777" w:rsidR="00074C7D" w:rsidRDefault="00074C7D" w:rsidP="00C06D64">
      <w:pPr>
        <w:spacing w:after="0"/>
      </w:pPr>
      <w:r>
        <w:separator/>
      </w:r>
    </w:p>
  </w:footnote>
  <w:footnote w:type="continuationSeparator" w:id="0">
    <w:p w14:paraId="1DBCCB2B" w14:textId="77777777" w:rsidR="00074C7D" w:rsidRDefault="00074C7D" w:rsidP="00C06D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875E8"/>
    <w:multiLevelType w:val="multilevel"/>
    <w:tmpl w:val="334C39E2"/>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 w15:restartNumberingAfterBreak="0">
    <w:nsid w:val="2941596A"/>
    <w:multiLevelType w:val="multilevel"/>
    <w:tmpl w:val="FACC0A92"/>
    <w:lvl w:ilvl="0">
      <w:start w:val="1"/>
      <w:numFmt w:val="decimal"/>
      <w:lvlText w:val="%1."/>
      <w:lvlJc w:val="left"/>
      <w:pPr>
        <w:ind w:left="417" w:hanging="420"/>
      </w:pPr>
    </w:lvl>
    <w:lvl w:ilvl="1">
      <w:start w:val="2"/>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2" w15:restartNumberingAfterBreak="0">
    <w:nsid w:val="4D2C4C45"/>
    <w:multiLevelType w:val="multilevel"/>
    <w:tmpl w:val="8D78AFE8"/>
    <w:lvl w:ilvl="0">
      <w:start w:val="2"/>
      <w:numFmt w:val="decimal"/>
      <w:lvlText w:val="%1."/>
      <w:lvlJc w:val="left"/>
      <w:pPr>
        <w:ind w:left="417" w:hanging="420"/>
      </w:pPr>
    </w:lvl>
    <w:lvl w:ilvl="1">
      <w:start w:val="1"/>
      <w:numFmt w:val="decimal"/>
      <w:lvlText w:val="%1.%2"/>
      <w:lvlJc w:val="left"/>
      <w:pPr>
        <w:ind w:left="1275"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3" w15:restartNumberingAfterBreak="0">
    <w:nsid w:val="5F0E615F"/>
    <w:multiLevelType w:val="multilevel"/>
    <w:tmpl w:val="AA60940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5B93DDE"/>
    <w:multiLevelType w:val="multilevel"/>
    <w:tmpl w:val="5CA2260A"/>
    <w:lvl w:ilvl="0">
      <w:start w:val="1"/>
      <w:numFmt w:val="decimal"/>
      <w:pStyle w:val="References"/>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35005023">
    <w:abstractNumId w:val="4"/>
  </w:num>
  <w:num w:numId="2" w16cid:durableId="2113276114">
    <w:abstractNumId w:val="1"/>
  </w:num>
  <w:num w:numId="3" w16cid:durableId="601571976">
    <w:abstractNumId w:val="3"/>
  </w:num>
  <w:num w:numId="4" w16cid:durableId="1554468504">
    <w:abstractNumId w:val="0"/>
  </w:num>
  <w:num w:numId="5" w16cid:durableId="6856422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C8E"/>
    <w:rsid w:val="00074C7D"/>
    <w:rsid w:val="0036371D"/>
    <w:rsid w:val="00365BE2"/>
    <w:rsid w:val="009053F9"/>
    <w:rsid w:val="00C06D64"/>
    <w:rsid w:val="00FF4C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132098"/>
  <w15:docId w15:val="{52A77DD9-45EE-402F-94F4-77C52CB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692"/>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unhideWhenUsed/>
    <w:qFormat/>
    <w:rsid w:val="00CF34C6"/>
    <w:pPr>
      <w:keepNext/>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spacing w:before="240" w:after="60"/>
      <w:outlineLvl w:val="4"/>
    </w:pPr>
    <w:rPr>
      <w:b/>
      <w:bCs/>
      <w:i/>
      <w:iCs/>
      <w:sz w:val="26"/>
      <w:szCs w:val="26"/>
    </w:rPr>
  </w:style>
  <w:style w:type="paragraph" w:styleId="6">
    <w:name w:val="heading 6"/>
    <w:basedOn w:val="a"/>
    <w:next w:val="a"/>
    <w:uiPriority w:val="9"/>
    <w:semiHidden/>
    <w:unhideWhenUsed/>
    <w:qFormat/>
    <w:rsid w:val="00CF34C6"/>
    <w:pPr>
      <w:spacing w:before="240" w:after="60"/>
      <w:outlineLvl w:val="5"/>
    </w:pPr>
    <w:rPr>
      <w:b/>
      <w:bCs/>
    </w:rPr>
  </w:style>
  <w:style w:type="paragraph" w:styleId="7">
    <w:name w:val="heading 7"/>
    <w:basedOn w:val="a"/>
    <w:next w:val="a"/>
    <w:qFormat/>
    <w:rsid w:val="00CF34C6"/>
    <w:pPr>
      <w:spacing w:before="240" w:after="60"/>
      <w:outlineLvl w:val="6"/>
    </w:pPr>
    <w:rPr>
      <w:sz w:val="24"/>
      <w:szCs w:val="24"/>
    </w:rPr>
  </w:style>
  <w:style w:type="paragraph" w:styleId="8">
    <w:name w:val="heading 8"/>
    <w:basedOn w:val="a"/>
    <w:next w:val="a"/>
    <w:qFormat/>
    <w:rsid w:val="00CF34C6"/>
    <w:pPr>
      <w:spacing w:before="240" w:after="60"/>
      <w:outlineLvl w:val="7"/>
    </w:pPr>
    <w:rPr>
      <w:i/>
      <w:iCs/>
      <w:sz w:val="24"/>
      <w:szCs w:val="24"/>
    </w:rPr>
  </w:style>
  <w:style w:type="paragraph" w:styleId="9">
    <w:name w:val="heading 9"/>
    <w:aliases w:val="Figure Heading,FH"/>
    <w:basedOn w:val="a"/>
    <w:next w:val="a"/>
    <w:qFormat/>
    <w:rsid w:val="00CF34C6"/>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qFormat/>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link w:val="B2Char"/>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val="en-US"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val="en-US" w:eastAsia="ja-JP"/>
    </w:rPr>
  </w:style>
  <w:style w:type="paragraph" w:customStyle="1" w:styleId="tdoc-header">
    <w:name w:val="tdoc-header"/>
    <w:rsid w:val="00AF2E61"/>
    <w:rPr>
      <w:rFonts w:ascii="Arial" w:hAnsi="Arial"/>
      <w:noProof/>
      <w:sz w:val="24"/>
      <w:lang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R4_bullets,列出段落,列出段"/>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paragraph" w:styleId="afc">
    <w:name w:val="Revision"/>
    <w:hidden/>
    <w:uiPriority w:val="99"/>
    <w:semiHidden/>
    <w:rsid w:val="00CE03C1"/>
    <w:rPr>
      <w:lang w:eastAsia="en-US"/>
    </w:rPr>
  </w:style>
  <w:style w:type="character" w:customStyle="1" w:styleId="GuidanceChar">
    <w:name w:val="Guidance Char"/>
    <w:link w:val="Guidance"/>
    <w:rsid w:val="00C85B35"/>
    <w:rPr>
      <w:rFonts w:eastAsia="Batang"/>
      <w:i/>
      <w:color w:val="0000FF"/>
      <w:lang w:val="en-GB" w:eastAsia="ja-JP"/>
    </w:rPr>
  </w:style>
  <w:style w:type="paragraph" w:styleId="afd">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17">
    <w:name w:val="17"/>
    <w:basedOn w:val="TableNormal1"/>
    <w:pPr>
      <w:spacing w:after="180"/>
    </w:pPr>
    <w:tblPr>
      <w:tblStyleRowBandSize w:val="1"/>
      <w:tblStyleColBandSize w:val="1"/>
      <w:tblCellMar>
        <w:left w:w="108" w:type="dxa"/>
        <w:right w:w="108" w:type="dxa"/>
      </w:tblCellMar>
    </w:tblPr>
  </w:style>
  <w:style w:type="table" w:customStyle="1" w:styleId="16">
    <w:name w:val="16"/>
    <w:basedOn w:val="TableNormal1"/>
    <w:tblPr>
      <w:tblStyleRowBandSize w:val="1"/>
      <w:tblStyleColBandSize w:val="1"/>
      <w:tblCellMar>
        <w:left w:w="115" w:type="dxa"/>
        <w:right w:w="115" w:type="dxa"/>
      </w:tblCellMar>
    </w:tblPr>
  </w:style>
  <w:style w:type="table" w:customStyle="1" w:styleId="15">
    <w:name w:val="15"/>
    <w:basedOn w:val="TableNormal1"/>
    <w:pPr>
      <w:spacing w:after="180"/>
    </w:pPr>
    <w:tblPr>
      <w:tblStyleRowBandSize w:val="1"/>
      <w:tblStyleColBandSize w:val="1"/>
      <w:tblCellMar>
        <w:left w:w="115" w:type="dxa"/>
        <w:right w:w="115" w:type="dxa"/>
      </w:tblCellMar>
    </w:tblPr>
  </w:style>
  <w:style w:type="table" w:customStyle="1" w:styleId="14">
    <w:name w:val="14"/>
    <w:basedOn w:val="TableNormal1"/>
    <w:tblPr>
      <w:tblStyleRowBandSize w:val="1"/>
      <w:tblStyleColBandSize w:val="1"/>
      <w:tblCellMar>
        <w:left w:w="115" w:type="dxa"/>
        <w:right w:w="115" w:type="dxa"/>
      </w:tblCellMar>
    </w:tblPr>
  </w:style>
  <w:style w:type="table" w:customStyle="1" w:styleId="13">
    <w:name w:val="13"/>
    <w:basedOn w:val="TableNormal1"/>
    <w:tblPr>
      <w:tblStyleRowBandSize w:val="1"/>
      <w:tblStyleColBandSize w:val="1"/>
      <w:tblCellMar>
        <w:left w:w="115" w:type="dxa"/>
        <w:right w:w="115" w:type="dxa"/>
      </w:tblCellMar>
    </w:tblPr>
  </w:style>
  <w:style w:type="table" w:customStyle="1" w:styleId="120">
    <w:name w:val="12"/>
    <w:basedOn w:val="TableNormal1"/>
    <w:tblPr>
      <w:tblStyleRowBandSize w:val="1"/>
      <w:tblStyleColBandSize w:val="1"/>
      <w:tblCellMar>
        <w:left w:w="115" w:type="dxa"/>
        <w:right w:w="115" w:type="dxa"/>
      </w:tblCellMar>
    </w:tblPr>
  </w:style>
  <w:style w:type="table" w:customStyle="1" w:styleId="110">
    <w:name w:val="11"/>
    <w:basedOn w:val="TableNormal1"/>
    <w:pPr>
      <w:spacing w:after="180"/>
    </w:pPr>
    <w:tblPr>
      <w:tblStyleRowBandSize w:val="1"/>
      <w:tblStyleColBandSize w:val="1"/>
      <w:tblCellMar>
        <w:left w:w="115" w:type="dxa"/>
        <w:right w:w="115" w:type="dxa"/>
      </w:tblCellMar>
    </w:tblPr>
  </w:style>
  <w:style w:type="table" w:customStyle="1" w:styleId="100">
    <w:name w:val="10"/>
    <w:basedOn w:val="TableNormal1"/>
    <w:pPr>
      <w:spacing w:after="180"/>
    </w:pPr>
    <w:tblPr>
      <w:tblStyleRowBandSize w:val="1"/>
      <w:tblStyleColBandSize w:val="1"/>
      <w:tblCellMar>
        <w:left w:w="115" w:type="dxa"/>
        <w:right w:w="115" w:type="dxa"/>
      </w:tblCellMar>
    </w:tblPr>
  </w:style>
  <w:style w:type="table" w:customStyle="1" w:styleId="91">
    <w:name w:val="9"/>
    <w:basedOn w:val="TableNormal2"/>
    <w:pPr>
      <w:spacing w:after="180"/>
    </w:pPr>
    <w:tblPr>
      <w:tblStyleRowBandSize w:val="1"/>
      <w:tblStyleColBandSize w:val="1"/>
      <w:tblCellMar>
        <w:left w:w="115" w:type="dxa"/>
        <w:right w:w="115" w:type="dxa"/>
      </w:tblCellMar>
    </w:tblPr>
  </w:style>
  <w:style w:type="table" w:customStyle="1" w:styleId="81">
    <w:name w:val="8"/>
    <w:basedOn w:val="TableNormal2"/>
    <w:pPr>
      <w:spacing w:after="180"/>
    </w:pPr>
    <w:tblPr>
      <w:tblStyleRowBandSize w:val="1"/>
      <w:tblStyleColBandSize w:val="1"/>
      <w:tblCellMar>
        <w:left w:w="115" w:type="dxa"/>
        <w:right w:w="115" w:type="dxa"/>
      </w:tblCellMar>
    </w:tblPr>
  </w:style>
  <w:style w:type="table" w:customStyle="1" w:styleId="61">
    <w:name w:val="6"/>
    <w:basedOn w:val="TableNormal2"/>
    <w:pPr>
      <w:spacing w:after="180"/>
    </w:pPr>
    <w:tblPr>
      <w:tblStyleRowBandSize w:val="1"/>
      <w:tblStyleColBandSize w:val="1"/>
      <w:tblCellMar>
        <w:left w:w="115" w:type="dxa"/>
        <w:right w:w="115" w:type="dxa"/>
      </w:tblCellMar>
    </w:tblPr>
  </w:style>
  <w:style w:type="table" w:customStyle="1" w:styleId="71">
    <w:name w:val="7"/>
    <w:basedOn w:val="a1"/>
    <w:rsid w:val="001B61FD"/>
    <w:pPr>
      <w:spacing w:after="180"/>
    </w:pPr>
    <w:tblPr>
      <w:tblStyleRowBandSize w:val="1"/>
      <w:tblStyleColBandSize w:val="1"/>
      <w:tblInd w:w="0" w:type="nil"/>
      <w:tblCellMar>
        <w:left w:w="115" w:type="dxa"/>
        <w:right w:w="115" w:type="dxa"/>
      </w:tblCellMar>
    </w:tblPr>
  </w:style>
  <w:style w:type="character" w:customStyle="1" w:styleId="B2Char">
    <w:name w:val="B2 Char"/>
    <w:link w:val="B2"/>
    <w:qFormat/>
    <w:locked/>
    <w:rsid w:val="0066361E"/>
    <w:rPr>
      <w:sz w:val="20"/>
      <w:szCs w:val="20"/>
      <w:lang w:eastAsia="ja-JP"/>
    </w:rPr>
  </w:style>
  <w:style w:type="table" w:customStyle="1" w:styleId="afe">
    <w:basedOn w:val="TableNormal0"/>
    <w:pPr>
      <w:spacing w:after="180"/>
    </w:pPr>
    <w:tblPr>
      <w:tblStyleRowBandSize w:val="1"/>
      <w:tblStyleColBandSize w:val="1"/>
      <w:tblCellMar>
        <w:left w:w="115" w:type="dxa"/>
        <w:right w:w="115" w:type="dxa"/>
      </w:tblCellMar>
    </w:tblPr>
  </w:style>
  <w:style w:type="table" w:customStyle="1" w:styleId="aff">
    <w:basedOn w:val="TableNormal0"/>
    <w:tblPr>
      <w:tblStyleRowBandSize w:val="1"/>
      <w:tblStyleColBandSize w:val="1"/>
      <w:tblCellMar>
        <w:left w:w="115" w:type="dxa"/>
        <w:right w:w="115" w:type="dxa"/>
      </w:tblCellMar>
    </w:tblPr>
  </w:style>
  <w:style w:type="table" w:customStyle="1" w:styleId="aff0">
    <w:basedOn w:val="TableNormal0"/>
    <w:pPr>
      <w:spacing w:after="180"/>
    </w:pPr>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5gaa.org/the-republic-of-korea-picks-c-v2x-as-its-technology-of-choic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adc.uscourts.gov/internet/opinions.nsf/03F761E593EC43F58525889C0053F27C/$file/21-1130-1959069.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fcc.gov/public/attachments/FCC-20-164A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C24CvfJR0Ekx1RYooLvsyndCrA==">CgMxLjAyCGguZ2pkZ3hzOAByITEwTnpUTGExcExyM0pWQTZDS3VLTG9RMTBMOXdRMm1wUw==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1977</Words>
  <Characters>11272</Characters>
  <Application>Microsoft Office Word</Application>
  <DocSecurity>0</DocSecurity>
  <Lines>93</Lines>
  <Paragraphs>26</Paragraphs>
  <ScaleCrop>false</ScaleCrop>
  <Company/>
  <LinksUpToDate>false</LinksUpToDate>
  <CharactersWithSpaces>13223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4</cp:revision>
  <dcterms:created xsi:type="dcterms:W3CDTF">2024-04-08T05:57:00Z</dcterms:created>
  <dcterms:modified xsi:type="dcterms:W3CDTF">2024-04-08T09:11:00Z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